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6FAD" w:rsidRDefault="0042112D">
      <w:pPr>
        <w:pStyle w:val="a9"/>
        <w:tabs>
          <w:tab w:val="clear" w:pos="8306"/>
          <w:tab w:val="right" w:pos="7088"/>
          <w:tab w:val="right" w:pos="9781"/>
        </w:tabs>
        <w:spacing w:after="0"/>
        <w:rPr>
          <w:rFonts w:ascii="Arial" w:hAnsi="Arial" w:cs="Arial"/>
          <w:b/>
          <w:bCs/>
          <w:sz w:val="22"/>
          <w:lang w:val="en-US" w:eastAsia="zh-CN"/>
        </w:rPr>
      </w:pPr>
      <w:r>
        <w:rPr>
          <w:rFonts w:ascii="Arial" w:hAnsi="Arial" w:cs="Arial"/>
          <w:b/>
          <w:bCs/>
          <w:sz w:val="22"/>
        </w:rPr>
        <w:t>3GPP TSG RAN WG1 #11</w:t>
      </w:r>
      <w:r>
        <w:rPr>
          <w:rFonts w:ascii="Arial" w:hAnsi="Arial" w:cs="Arial" w:hint="eastAsia"/>
          <w:b/>
          <w:bCs/>
          <w:sz w:val="22"/>
          <w:lang w:val="en-US" w:eastAsia="zh-CN"/>
        </w:rPr>
        <w:t xml:space="preserve">8bis                                                      </w:t>
      </w:r>
      <w:r>
        <w:rPr>
          <w:rFonts w:ascii="Arial" w:hAnsi="Arial" w:cs="Arial"/>
          <w:b/>
          <w:bCs/>
          <w:sz w:val="22"/>
          <w:lang w:val="en-US" w:eastAsia="zh-CN"/>
        </w:rPr>
        <w:t xml:space="preserve">                               R1-2407810</w:t>
      </w:r>
    </w:p>
    <w:p w:rsidR="00226FAD" w:rsidRDefault="0042112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b/>
          <w:sz w:val="22"/>
          <w:szCs w:val="22"/>
          <w:lang w:val="en-US" w:eastAsia="zh-CN"/>
        </w:rPr>
        <w:t>Hefei</w:t>
      </w:r>
      <w:r>
        <w:rPr>
          <w:rFonts w:ascii="Arial" w:hAnsi="Arial" w:cs="Arial"/>
          <w:b/>
          <w:sz w:val="22"/>
          <w:szCs w:val="22"/>
        </w:rPr>
        <w:t xml:space="preserve">, 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China</w:t>
      </w:r>
      <w:r>
        <w:rPr>
          <w:rFonts w:ascii="Arial" w:hAnsi="Arial" w:cs="Arial"/>
          <w:b/>
          <w:sz w:val="22"/>
          <w:szCs w:val="22"/>
        </w:rPr>
        <w:t xml:space="preserve">, 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October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14</w:t>
      </w:r>
      <w:proofErr w:type="spellStart"/>
      <w:r>
        <w:rPr>
          <w:rFonts w:ascii="Arial" w:hAnsi="Arial" w:cs="Arial" w:hint="eastAsia"/>
          <w:b/>
          <w:sz w:val="22"/>
          <w:szCs w:val="22"/>
          <w:vertAlign w:val="superscript"/>
        </w:rPr>
        <w:t>th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– 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18</w:t>
      </w:r>
      <w:r>
        <w:rPr>
          <w:rFonts w:ascii="Arial" w:hAnsi="Arial" w:cs="Arial" w:hint="eastAsia"/>
          <w:b/>
          <w:sz w:val="22"/>
          <w:szCs w:val="22"/>
          <w:vertAlign w:val="superscript"/>
          <w:lang w:val="en-US" w:eastAsia="zh-CN"/>
        </w:rPr>
        <w:t>th</w:t>
      </w:r>
      <w:r>
        <w:rPr>
          <w:rFonts w:ascii="Arial" w:hAnsi="Arial" w:cs="Arial"/>
          <w:b/>
          <w:sz w:val="22"/>
          <w:szCs w:val="22"/>
          <w:vertAlign w:val="superscript"/>
        </w:rPr>
        <w:t>,</w:t>
      </w:r>
      <w:r>
        <w:rPr>
          <w:rFonts w:ascii="Arial" w:hAnsi="Arial" w:cs="Arial"/>
          <w:b/>
          <w:sz w:val="22"/>
          <w:szCs w:val="22"/>
        </w:rPr>
        <w:t xml:space="preserve"> 2024</w:t>
      </w:r>
    </w:p>
    <w:p w:rsidR="00226FAD" w:rsidRDefault="0042112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 xml:space="preserve">ZTE Corporation, </w:t>
      </w:r>
      <w:proofErr w:type="spellStart"/>
      <w:r>
        <w:rPr>
          <w:rFonts w:ascii="Arial" w:hAnsi="Arial" w:cs="Arial"/>
          <w:b/>
        </w:rPr>
        <w:t>Sanechips</w:t>
      </w:r>
      <w:proofErr w:type="spellEnd"/>
    </w:p>
    <w:p w:rsidR="00226FAD" w:rsidRDefault="0042112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Discussion on multi-cell PUSCH/PDSCH scheduling with </w:t>
      </w:r>
      <w:r>
        <w:rPr>
          <w:rFonts w:ascii="Arial" w:hAnsi="Arial" w:cs="Arial"/>
          <w:b/>
        </w:rPr>
        <w:t>a single DCI</w:t>
      </w:r>
    </w:p>
    <w:p w:rsidR="00226FAD" w:rsidRDefault="0042112D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9.12.1</w:t>
      </w:r>
    </w:p>
    <w:p w:rsidR="00226FAD" w:rsidRDefault="0042112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</w:rPr>
        <w:t>Discussion and Decision</w:t>
      </w:r>
    </w:p>
    <w:p w:rsidR="00226FAD" w:rsidRDefault="0042112D">
      <w:pPr>
        <w:pStyle w:val="1"/>
        <w:pBdr>
          <w:top w:val="single" w:sz="12" w:space="0" w:color="auto"/>
        </w:pBdr>
      </w:pPr>
      <w:r>
        <w:t>Introduction</w:t>
      </w:r>
    </w:p>
    <w:p w:rsidR="00226FAD" w:rsidRDefault="0042112D">
      <w:pPr>
        <w:rPr>
          <w:lang w:val="en-US" w:eastAsia="zh-CN"/>
        </w:rPr>
      </w:pPr>
      <w:r>
        <w:rPr>
          <w:lang w:eastAsia="zh-CN"/>
        </w:rPr>
        <w:t>In RAN#1</w:t>
      </w:r>
      <w:r>
        <w:rPr>
          <w:rFonts w:hint="eastAsia"/>
          <w:lang w:val="en-US" w:eastAsia="zh-CN"/>
        </w:rPr>
        <w:t>05</w:t>
      </w:r>
      <w:r>
        <w:rPr>
          <w:lang w:eastAsia="zh-CN"/>
        </w:rPr>
        <w:t xml:space="preserve"> meeting, a </w:t>
      </w:r>
      <w:r>
        <w:rPr>
          <w:rFonts w:hint="eastAsia"/>
          <w:lang w:val="en-US" w:eastAsia="zh-CN"/>
        </w:rPr>
        <w:t>new WID</w:t>
      </w:r>
      <w:r>
        <w:rPr>
          <w:lang w:eastAsia="zh-CN"/>
        </w:rPr>
        <w:t xml:space="preserve"> o</w:t>
      </w:r>
      <w:r>
        <w:rPr>
          <w:rFonts w:hint="eastAsia"/>
          <w:lang w:val="en-US" w:eastAsia="zh-CN"/>
        </w:rPr>
        <w:t xml:space="preserve">n </w:t>
      </w:r>
      <w:r>
        <w:rPr>
          <w:lang w:eastAsia="zh-CN"/>
        </w:rPr>
        <w:t>Multi-carrier enhancements for NR Phase 2</w:t>
      </w:r>
      <w:r>
        <w:rPr>
          <w:rFonts w:hint="eastAsia"/>
          <w:lang w:val="en-US" w:eastAsia="zh-CN"/>
        </w:rPr>
        <w:t xml:space="preserve"> has been </w:t>
      </w:r>
      <w:r>
        <w:rPr>
          <w:color w:val="000000"/>
        </w:rPr>
        <w:t>approved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[1]</w:t>
      </w:r>
      <w:r>
        <w:rPr>
          <w:rFonts w:hint="eastAsia"/>
          <w:lang w:val="en-US" w:eastAsia="zh-CN"/>
        </w:rPr>
        <w:t>. The details of the objective are shown below.</w:t>
      </w:r>
    </w:p>
    <w:tbl>
      <w:tblPr>
        <w:tblStyle w:val="ae"/>
        <w:tblW w:w="5000" w:type="pct"/>
        <w:tblLook w:val="04A0" w:firstRow="1" w:lastRow="0" w:firstColumn="1" w:lastColumn="0" w:noHBand="0" w:noVBand="1"/>
      </w:tblPr>
      <w:tblGrid>
        <w:gridCol w:w="9629"/>
      </w:tblGrid>
      <w:tr w:rsidR="00226FAD">
        <w:tc>
          <w:tcPr>
            <w:tcW w:w="5000" w:type="pct"/>
          </w:tcPr>
          <w:p w:rsidR="00226FAD" w:rsidRDefault="0042112D">
            <w:pPr>
              <w:rPr>
                <w:rFonts w:eastAsia="Yu Mincho"/>
              </w:rPr>
            </w:pPr>
            <w:r>
              <w:rPr>
                <w:rFonts w:eastAsia="Yu Mincho"/>
              </w:rPr>
              <w:t xml:space="preserve">1. Specify the support of </w:t>
            </w:r>
            <w:r>
              <w:rPr>
                <w:rFonts w:eastAsia="Yu Mincho"/>
              </w:rPr>
              <w:t>the following for multi-cell PUSCH/PDSCH scheduling with a single DCI [RAN1]</w:t>
            </w:r>
          </w:p>
          <w:p w:rsidR="00226FAD" w:rsidRDefault="0042112D">
            <w:pPr>
              <w:numPr>
                <w:ilvl w:val="0"/>
                <w:numId w:val="13"/>
              </w:numPr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 xml:space="preserve">Different SCS/carrier type among co-scheduled cells by the single </w:t>
            </w:r>
            <w:r>
              <w:rPr>
                <w:rFonts w:eastAsia="Yu Mincho"/>
              </w:rPr>
              <w:t>DCI</w:t>
            </w:r>
            <w:r>
              <w:rPr>
                <w:rFonts w:eastAsia="Yu Mincho"/>
                <w:lang w:val="en-US"/>
              </w:rPr>
              <w:t>.</w:t>
            </w:r>
          </w:p>
          <w:p w:rsidR="00226FAD" w:rsidRDefault="0042112D">
            <w:pPr>
              <w:numPr>
                <w:ilvl w:val="0"/>
                <w:numId w:val="13"/>
              </w:numPr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One or multiple PUSCHs/PDSCHs per scheduled cell by the single DCI.</w:t>
            </w:r>
          </w:p>
          <w:p w:rsidR="00226FAD" w:rsidRDefault="0042112D">
            <w:pPr>
              <w:numPr>
                <w:ilvl w:val="1"/>
                <w:numId w:val="13"/>
              </w:numPr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 xml:space="preserve">The maximum number of PUSCHs/PDSCHs per </w:t>
            </w:r>
            <w:r>
              <w:rPr>
                <w:rFonts w:eastAsia="Yu Mincho"/>
                <w:lang w:val="en-US"/>
              </w:rPr>
              <w:t>scheduled cell is [4 or 8].</w:t>
            </w:r>
          </w:p>
          <w:p w:rsidR="00226FAD" w:rsidRDefault="0042112D">
            <w:pPr>
              <w:numPr>
                <w:ilvl w:val="1"/>
                <w:numId w:val="13"/>
              </w:numPr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Note: Type-1 HARQ-ACK codebook is not enhanced for Rel-19 multi-cell scheduling.</w:t>
            </w:r>
          </w:p>
          <w:p w:rsidR="00226FAD" w:rsidRDefault="0042112D">
            <w:pPr>
              <w:numPr>
                <w:ilvl w:val="1"/>
                <w:numId w:val="13"/>
              </w:numPr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Note: The maximum number of sub-codebooks for Type-2 HARQ-ACK codebook is not increased for Rel-19 multi-cell scheduling.</w:t>
            </w:r>
          </w:p>
          <w:p w:rsidR="00226FAD" w:rsidRDefault="0042112D">
            <w:pPr>
              <w:numPr>
                <w:ilvl w:val="1"/>
                <w:numId w:val="13"/>
              </w:numPr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 xml:space="preserve">Note: UE does not expect </w:t>
            </w:r>
            <w:r>
              <w:rPr>
                <w:rFonts w:eastAsia="Yu Mincho"/>
                <w:lang w:val="en-US"/>
              </w:rPr>
              <w:t>to be configured with both single-cell multi-PUSCH/PDSCH scheduling and multi-cell multi-PUSCH/PDSCH scheduling on the same or different cells within a same PUCCH group.</w:t>
            </w:r>
          </w:p>
          <w:p w:rsidR="00226FAD" w:rsidRDefault="0042112D">
            <w:pPr>
              <w:numPr>
                <w:ilvl w:val="0"/>
                <w:numId w:val="13"/>
              </w:numPr>
              <w:rPr>
                <w:rFonts w:eastAsia="Batang"/>
                <w:b/>
                <w:bCs/>
                <w:lang w:eastAsia="zh-CN"/>
              </w:rPr>
            </w:pPr>
            <w:r>
              <w:rPr>
                <w:rFonts w:eastAsia="Yu Mincho"/>
                <w:lang w:val="en-US"/>
              </w:rPr>
              <w:t>Note: No new DCI format is introduced.</w:t>
            </w:r>
          </w:p>
        </w:tc>
      </w:tr>
    </w:tbl>
    <w:p w:rsidR="00226FAD" w:rsidRDefault="0042112D">
      <w:pPr>
        <w:spacing w:beforeLines="50" w:before="120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this contribution, our analyses on the Rel-19 multi-cell </w:t>
      </w:r>
      <w:r>
        <w:rPr>
          <w:rFonts w:eastAsia="Yu Mincho"/>
        </w:rPr>
        <w:t>PUSCH/PDSCH</w:t>
      </w:r>
      <w:r>
        <w:rPr>
          <w:rFonts w:hint="eastAsia"/>
          <w:lang w:val="en-US" w:eastAsia="zh-CN"/>
        </w:rPr>
        <w:t xml:space="preserve"> scheduling with a single DCI are provided, including scheduling and HARQ, Type-1/2 HARQ-ACK codebook and the maximum number of PUSCHs/PDSCHs.</w:t>
      </w:r>
    </w:p>
    <w:p w:rsidR="00226FAD" w:rsidRDefault="0042112D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Scheduling and HARQ</w:t>
      </w:r>
    </w:p>
    <w:p w:rsidR="00226FAD" w:rsidRDefault="0042112D">
      <w:pPr>
        <w:rPr>
          <w:iCs/>
          <w:lang w:val="en-US" w:eastAsia="zh-CN"/>
        </w:rPr>
      </w:pPr>
      <w:r>
        <w:rPr>
          <w:rFonts w:hint="eastAsia"/>
          <w:iCs/>
          <w:lang w:val="en-US" w:eastAsia="zh-CN"/>
        </w:rPr>
        <w:t xml:space="preserve">Multi-cell PUSCH/PDSCH scheduling by a single DCI is useful </w:t>
      </w:r>
      <w:r>
        <w:rPr>
          <w:rFonts w:eastAsia="Yu Mincho"/>
          <w:iCs/>
        </w:rPr>
        <w:t>to reduce UE power consumption and PDCCH overhead.</w:t>
      </w:r>
      <w:r>
        <w:rPr>
          <w:rFonts w:hint="eastAsia"/>
          <w:iCs/>
          <w:lang w:val="en-US" w:eastAsia="zh-CN"/>
        </w:rPr>
        <w:t xml:space="preserve"> </w:t>
      </w:r>
      <w:r>
        <w:rPr>
          <w:rFonts w:eastAsia="Yu Mincho"/>
          <w:iCs/>
        </w:rPr>
        <w:t>Co-schedul</w:t>
      </w:r>
      <w:r>
        <w:rPr>
          <w:rFonts w:eastAsia="Yu Mincho" w:hint="eastAsia"/>
          <w:iCs/>
          <w:lang w:eastAsia="ja-JP"/>
        </w:rPr>
        <w:t>ed</w:t>
      </w:r>
      <w:r>
        <w:rPr>
          <w:rFonts w:eastAsia="Yu Mincho"/>
          <w:iCs/>
        </w:rPr>
        <w:t xml:space="preserve"> </w:t>
      </w:r>
      <w:r>
        <w:rPr>
          <w:rFonts w:hint="eastAsia"/>
          <w:iCs/>
          <w:lang w:val="en-US" w:eastAsia="zh-CN"/>
        </w:rPr>
        <w:t>cells</w:t>
      </w:r>
      <w:r>
        <w:rPr>
          <w:rFonts w:eastAsia="Yu Mincho"/>
          <w:iCs/>
        </w:rPr>
        <w:t xml:space="preserve"> with different SCS</w:t>
      </w:r>
      <w:r>
        <w:rPr>
          <w:rFonts w:hint="eastAsia"/>
          <w:iCs/>
          <w:lang w:val="en-US" w:eastAsia="zh-CN"/>
        </w:rPr>
        <w:t>/carrier type</w:t>
      </w:r>
      <w:r>
        <w:rPr>
          <w:iCs/>
          <w:lang w:val="en-US" w:eastAsia="zh-CN"/>
        </w:rPr>
        <w:t>s</w:t>
      </w:r>
      <w:r>
        <w:rPr>
          <w:rFonts w:eastAsia="Yu Mincho"/>
          <w:iCs/>
        </w:rPr>
        <w:t xml:space="preserve"> </w:t>
      </w:r>
      <w:r>
        <w:rPr>
          <w:rFonts w:eastAsia="Yu Mincho" w:hint="eastAsia"/>
          <w:iCs/>
          <w:lang w:eastAsia="ja-JP"/>
        </w:rPr>
        <w:t>have</w:t>
      </w:r>
      <w:r>
        <w:rPr>
          <w:rFonts w:eastAsia="Yu Mincho"/>
          <w:iCs/>
        </w:rPr>
        <w:t xml:space="preserve"> high commercial needs for operators, e.g., 3.5GHz TDD + Sub-3GHz FDD, FR1 + FR2</w:t>
      </w:r>
      <w:r>
        <w:rPr>
          <w:rFonts w:eastAsia="Yu Mincho" w:hint="eastAsia"/>
          <w:iCs/>
          <w:lang w:eastAsia="ja-JP"/>
        </w:rPr>
        <w:t>, etc</w:t>
      </w:r>
      <w:r>
        <w:rPr>
          <w:rFonts w:eastAsia="Yu Mincho"/>
          <w:iCs/>
        </w:rPr>
        <w:t>.</w:t>
      </w:r>
      <w:r>
        <w:rPr>
          <w:rFonts w:hint="eastAsia"/>
          <w:iCs/>
          <w:lang w:val="en-US" w:eastAsia="zh-CN"/>
        </w:rPr>
        <w:t xml:space="preserve"> </w:t>
      </w:r>
    </w:p>
    <w:p w:rsidR="00226FAD" w:rsidRDefault="0042112D" w:rsidP="00B502F2">
      <w:r>
        <w:t>I</w:t>
      </w:r>
      <w:r>
        <w:t xml:space="preserve">n previous release, multi-PDSCH/PUSCH scheduling </w:t>
      </w:r>
      <w:r>
        <w:rPr>
          <w:rFonts w:hint="eastAsia"/>
          <w:lang w:val="en-US" w:eastAsia="zh-CN"/>
        </w:rPr>
        <w:t>on</w:t>
      </w:r>
      <w:r>
        <w:t xml:space="preserve"> one cell </w:t>
      </w:r>
      <w:r>
        <w:rPr>
          <w:rFonts w:hint="eastAsia"/>
          <w:lang w:eastAsia="ja-JP"/>
        </w:rPr>
        <w:t>wa</w:t>
      </w:r>
      <w:r>
        <w:t>s introduced, i.e., up to 8 PUSCHs or PDSCHs on a single serving cell can be scheduled by a single DCI format 0</w:t>
      </w:r>
      <w:r>
        <w:rPr>
          <w:rFonts w:hint="eastAsia"/>
          <w:lang w:eastAsia="ja-JP"/>
        </w:rPr>
        <w:t>_</w:t>
      </w:r>
      <w:r>
        <w:t>1 or 1</w:t>
      </w:r>
      <w:r>
        <w:rPr>
          <w:rFonts w:hint="eastAsia"/>
          <w:lang w:eastAsia="ja-JP"/>
        </w:rPr>
        <w:t>_</w:t>
      </w:r>
      <w:r>
        <w:t>1, in order to save UE power and reduce PDCCH overhead. Hence, it is strai</w:t>
      </w:r>
      <w:r>
        <w:t>ghtforward to combine multi-cell scheduling and multi-PDSCH/PUSCH scheduling in Rel-19 to fully exploit the gain of power saving and PDCCH overhead reduction so that one DCI format 0_3 or 1_3 can schedule multiple cells with one or multiple PUSCHs/PDSCHs p</w:t>
      </w:r>
      <w:r>
        <w:t>er scheduled cell. This is especially useful when scheduling cell in FR1 with a lower SCS schedules multiple cells in FR2 with higher SCS.</w:t>
      </w:r>
    </w:p>
    <w:p w:rsidR="00226FAD" w:rsidRDefault="0042112D">
      <w:pPr>
        <w:spacing w:beforeLines="50" w:before="120"/>
        <w:rPr>
          <w:iCs/>
          <w:lang w:val="en-US" w:eastAsia="zh-CN"/>
        </w:rPr>
      </w:pPr>
      <w:r>
        <w:rPr>
          <w:iCs/>
          <w:lang w:eastAsia="zh-CN"/>
        </w:rPr>
        <w:t>When introducing multi-PUSCH/PDSCH scheduling, the changes include multi-SLIV configuration in the TDRA table and the</w:t>
      </w:r>
      <w:r>
        <w:rPr>
          <w:iCs/>
          <w:lang w:eastAsia="zh-CN"/>
        </w:rPr>
        <w:t xml:space="preserve"> multiple NDI/RV indications in the DCI from</w:t>
      </w:r>
      <w:r>
        <w:rPr>
          <w:rFonts w:hint="eastAsia"/>
          <w:iCs/>
          <w:lang w:val="en-US" w:eastAsia="zh-CN"/>
        </w:rPr>
        <w:t xml:space="preserve"> the scheduling perspective</w:t>
      </w:r>
      <w:r>
        <w:rPr>
          <w:iCs/>
          <w:lang w:val="en-US" w:eastAsia="zh-CN"/>
        </w:rPr>
        <w:t xml:space="preserve">. Therefore, the same change can be made for DCI format 0_3/1_3 to combine </w:t>
      </w:r>
      <w:r>
        <w:rPr>
          <w:rFonts w:hint="eastAsia"/>
          <w:iCs/>
          <w:lang w:val="en-US" w:eastAsia="zh-CN"/>
        </w:rPr>
        <w:t xml:space="preserve">the above two </w:t>
      </w:r>
      <w:r>
        <w:rPr>
          <w:iCs/>
          <w:lang w:val="en-US" w:eastAsia="zh-CN"/>
        </w:rPr>
        <w:t>features.</w:t>
      </w:r>
      <w:r>
        <w:rPr>
          <w:rFonts w:hint="eastAsia"/>
          <w:iCs/>
          <w:lang w:val="en-US" w:eastAsia="zh-CN"/>
        </w:rPr>
        <w:t xml:space="preserve"> </w:t>
      </w:r>
      <w:r>
        <w:rPr>
          <w:rFonts w:eastAsia="Yu Mincho"/>
          <w:iCs/>
        </w:rPr>
        <w:t>DCI format 0_3 and 1_3</w:t>
      </w:r>
      <w:r>
        <w:rPr>
          <w:rFonts w:hint="eastAsia"/>
          <w:iCs/>
          <w:lang w:val="en-US" w:eastAsia="zh-CN"/>
        </w:rPr>
        <w:t xml:space="preserve"> </w:t>
      </w:r>
      <w:r>
        <w:rPr>
          <w:iCs/>
          <w:lang w:val="en-US" w:eastAsia="zh-CN"/>
        </w:rPr>
        <w:t>can be updated to include</w:t>
      </w:r>
      <w:r>
        <w:rPr>
          <w:rFonts w:hint="eastAsia"/>
          <w:iCs/>
          <w:lang w:val="en-US" w:eastAsia="zh-CN"/>
        </w:rPr>
        <w:t xml:space="preserve"> multi-SLIV in TDRA and independent N</w:t>
      </w:r>
      <w:r>
        <w:rPr>
          <w:rFonts w:hint="eastAsia"/>
          <w:iCs/>
          <w:lang w:val="en-US" w:eastAsia="zh-CN"/>
        </w:rPr>
        <w:t xml:space="preserve">DI/RV </w:t>
      </w:r>
      <w:r>
        <w:rPr>
          <w:iCs/>
          <w:lang w:val="en-US" w:eastAsia="zh-CN"/>
        </w:rPr>
        <w:t>indication for</w:t>
      </w:r>
      <w:r>
        <w:rPr>
          <w:rFonts w:hint="eastAsia"/>
          <w:iCs/>
          <w:lang w:val="en-US" w:eastAsia="zh-CN"/>
        </w:rPr>
        <w:t xml:space="preserve"> the cell(s) configured with multi-PUSCH/PDSCH scheduling.</w:t>
      </w:r>
    </w:p>
    <w:p w:rsidR="00226FAD" w:rsidRDefault="0042112D" w:rsidP="000C173C">
      <w:pPr>
        <w:rPr>
          <w:iCs/>
          <w:lang w:val="en-US" w:eastAsia="zh-CN"/>
        </w:rPr>
      </w:pPr>
      <w:r>
        <w:rPr>
          <w:rFonts w:hint="eastAsia"/>
          <w:b/>
          <w:i/>
        </w:rPr>
        <w:t>P</w:t>
      </w:r>
      <w:r>
        <w:rPr>
          <w:b/>
          <w:i/>
        </w:rPr>
        <w:t xml:space="preserve">roposal </w:t>
      </w:r>
      <w:r>
        <w:rPr>
          <w:rFonts w:hint="eastAsia"/>
          <w:b/>
          <w:i/>
          <w:lang w:val="en-US" w:eastAsia="zh-CN"/>
        </w:rPr>
        <w:t>1</w:t>
      </w:r>
      <w:r>
        <w:rPr>
          <w:b/>
          <w:i/>
        </w:rPr>
        <w:t>:</w:t>
      </w:r>
      <w:r>
        <w:rPr>
          <w:i/>
        </w:rPr>
        <w:t xml:space="preserve"> </w:t>
      </w:r>
      <w:r>
        <w:rPr>
          <w:rFonts w:hint="eastAsia"/>
          <w:i/>
          <w:lang w:val="en-US" w:eastAsia="zh-CN"/>
        </w:rPr>
        <w:t>Multi-SLIV in TDRA and independent NDI/RV are supported in DCI format 0_3 and 1_3 for cell(s) configured with multi-PUSCH/PDSCH scheduling.</w:t>
      </w:r>
    </w:p>
    <w:p w:rsidR="00226FAD" w:rsidRDefault="0042112D" w:rsidP="000C173C">
      <w:pPr>
        <w:rPr>
          <w:iCs/>
          <w:lang w:val="en-US" w:eastAsia="zh-CN"/>
        </w:rPr>
      </w:pPr>
      <w:r>
        <w:rPr>
          <w:rFonts w:hint="eastAsia"/>
          <w:iCs/>
          <w:lang w:val="en-US" w:eastAsia="zh-CN"/>
        </w:rPr>
        <w:t xml:space="preserve">The </w:t>
      </w:r>
      <w:r>
        <w:rPr>
          <w:iCs/>
          <w:lang w:val="en-US" w:eastAsia="zh-CN"/>
        </w:rPr>
        <w:t>other</w:t>
      </w:r>
      <w:r>
        <w:rPr>
          <w:rFonts w:hint="eastAsia"/>
          <w:iCs/>
          <w:lang w:val="en-US" w:eastAsia="zh-CN"/>
        </w:rPr>
        <w:t xml:space="preserve"> specification i</w:t>
      </w:r>
      <w:r>
        <w:rPr>
          <w:rFonts w:hint="eastAsia"/>
          <w:iCs/>
          <w:lang w:val="en-US" w:eastAsia="zh-CN"/>
        </w:rPr>
        <w:t xml:space="preserve">mpacts </w:t>
      </w:r>
      <w:r>
        <w:rPr>
          <w:iCs/>
          <w:lang w:val="en-US" w:eastAsia="zh-CN"/>
        </w:rPr>
        <w:t xml:space="preserve">include </w:t>
      </w:r>
      <w:r>
        <w:rPr>
          <w:rFonts w:hint="eastAsia"/>
          <w:iCs/>
          <w:lang w:val="en-US" w:eastAsia="zh-CN"/>
        </w:rPr>
        <w:t>HARQ-ACK feedback, especially Type-2 HARQ-ACK codebook.</w:t>
      </w:r>
      <w:r>
        <w:rPr>
          <w:rFonts w:eastAsia="Yu Mincho"/>
          <w:iCs/>
        </w:rPr>
        <w:t xml:space="preserve"> </w:t>
      </w:r>
      <w:r>
        <w:rPr>
          <w:rFonts w:hint="eastAsia"/>
          <w:iCs/>
          <w:lang w:val="en-US" w:eastAsia="zh-CN"/>
        </w:rPr>
        <w:t xml:space="preserve">Considering </w:t>
      </w:r>
      <w:r>
        <w:rPr>
          <w:iCs/>
          <w:lang w:val="en-US" w:eastAsia="zh-CN"/>
        </w:rPr>
        <w:t xml:space="preserve">that </w:t>
      </w:r>
      <w:r>
        <w:rPr>
          <w:rFonts w:hint="eastAsia"/>
          <w:iCs/>
          <w:lang w:val="en-US" w:eastAsia="zh-CN"/>
        </w:rPr>
        <w:t>multi-carrier enhancements for NR phase 2 shall be further enhanced based on Rel-18 MC with aiming to minimize standardization impact in all RAN WGs as much as possible</w:t>
      </w:r>
      <w:r>
        <w:rPr>
          <w:rFonts w:hint="eastAsia"/>
          <w:iCs/>
          <w:lang w:val="en-US" w:eastAsia="zh-CN"/>
        </w:rPr>
        <w:t xml:space="preserve"> [2], the same principles of HARQ-ACK feedback from Rel-18 multi-cell scheduling should be reused as follows.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26FAD">
        <w:tc>
          <w:tcPr>
            <w:tcW w:w="9855" w:type="dxa"/>
          </w:tcPr>
          <w:p w:rsidR="00226FAD" w:rsidRDefault="0042112D">
            <w:pPr>
              <w:rPr>
                <w:rFonts w:cs="Times"/>
                <w:b/>
                <w:bCs/>
                <w:highlight w:val="green"/>
              </w:rPr>
            </w:pPr>
            <w:r>
              <w:rPr>
                <w:rFonts w:cs="Times" w:hint="eastAsia"/>
                <w:b/>
                <w:bCs/>
                <w:highlight w:val="green"/>
                <w:lang w:val="en-US" w:eastAsia="zh-CN"/>
              </w:rPr>
              <w:t xml:space="preserve">RAN1#110 </w:t>
            </w:r>
            <w:r>
              <w:rPr>
                <w:rFonts w:cs="Times"/>
                <w:b/>
                <w:bCs/>
                <w:highlight w:val="green"/>
              </w:rPr>
              <w:t>Agreement</w:t>
            </w:r>
          </w:p>
          <w:p w:rsidR="00226FAD" w:rsidRDefault="0042112D">
            <w:pPr>
              <w:pStyle w:val="af2"/>
              <w:kinsoku w:val="0"/>
              <w:overflowPunct w:val="0"/>
              <w:adjustRightInd w:val="0"/>
              <w:ind w:left="0"/>
              <w:textAlignment w:val="baseline"/>
              <w:rPr>
                <w:rFonts w:eastAsia="Times New Roman" w:cs="Times"/>
                <w:lang w:eastAsia="ja-JP"/>
              </w:rPr>
            </w:pPr>
            <w:r>
              <w:rPr>
                <w:rFonts w:eastAsia="Times New Roman" w:cs="Times"/>
                <w:lang w:eastAsia="ja-JP"/>
              </w:rPr>
              <w:lastRenderedPageBreak/>
              <w:t xml:space="preserve">When UE detects a DCI format 1_X scheduling a set of PDSCHs, the UE provides corresponding HARQ-ACK information in a PUCCH </w:t>
            </w:r>
            <w:r>
              <w:rPr>
                <w:rFonts w:eastAsia="Times New Roman" w:cs="Times"/>
                <w:lang w:eastAsia="ja-JP"/>
              </w:rPr>
              <w:t>transmission within UL slot</w:t>
            </w:r>
            <w:r>
              <w:rPr>
                <w:rFonts w:cs="Times" w:hint="eastAsia"/>
                <w:lang w:val="en-US" w:eastAsia="zh-CN"/>
              </w:rPr>
              <w:t xml:space="preserve"> </w:t>
            </w:r>
            <m:oMath>
              <m:r>
                <w:rPr>
                  <w:rFonts w:ascii="Cambria Math" w:eastAsia="Times New Roman" w:hAnsi="Cambria Math"/>
                  <w:color w:val="000000"/>
                  <w:lang w:val="zh-CN" w:eastAsia="ja-JP"/>
                </w:rPr>
                <m:t>n</m:t>
              </m:r>
              <m:r>
                <w:rPr>
                  <w:rFonts w:ascii="Cambria Math" w:hAnsi="Cambria Math"/>
                  <w:color w:val="000000"/>
                  <w:lang w:val="en-US" w:eastAsia="zh-CN"/>
                </w:rPr>
                <m:t>+</m:t>
              </m:r>
              <m:r>
                <w:rPr>
                  <w:rFonts w:ascii="Cambria Math" w:hAnsi="Cambria Math"/>
                  <w:color w:val="000000"/>
                  <w:lang w:val="en-US" w:eastAsia="zh-CN"/>
                </w:rPr>
                <m:t>k</m:t>
              </m:r>
            </m:oMath>
            <w:r>
              <w:rPr>
                <w:rFonts w:eastAsia="Times New Roman" w:cs="Times"/>
                <w:lang w:eastAsia="ja-JP"/>
              </w:rPr>
              <w:t>, where</w:t>
            </w:r>
            <w:r>
              <w:rPr>
                <w:rFonts w:cs="Times" w:hint="eastAsia"/>
                <w:lang w:val="en-US" w:eastAsia="zh-CN"/>
              </w:rPr>
              <w:t xml:space="preserve"> </w:t>
            </w:r>
            <m:oMath>
              <m:r>
                <w:rPr>
                  <w:rFonts w:ascii="Cambria Math" w:hAnsi="Cambria Math"/>
                  <w:color w:val="000000"/>
                  <w:lang w:val="en-US" w:eastAsia="zh-CN"/>
                </w:rPr>
                <m:t>k</m:t>
              </m:r>
            </m:oMath>
            <w:r>
              <w:rPr>
                <w:rFonts w:eastAsia="Times New Roman" w:cs="Times"/>
                <w:lang w:eastAsia="ja-JP"/>
              </w:rPr>
              <w:t xml:space="preserve"> is a number of slots and is indicated by the PDSCH-to-HARQ_feedback timing indicator field in the DCI format and </w:t>
            </w:r>
            <m:oMath>
              <m:r>
                <w:rPr>
                  <w:rFonts w:ascii="Cambria Math" w:eastAsia="Times New Roman" w:hAnsi="Cambria Math"/>
                  <w:color w:val="000000"/>
                  <w:lang w:val="zh-CN" w:eastAsia="ja-JP"/>
                </w:rPr>
                <m:t>n</m:t>
              </m:r>
            </m:oMath>
            <w:r>
              <w:rPr>
                <w:rFonts w:eastAsia="Times New Roman" w:cs="Times"/>
                <w:lang w:eastAsia="ja-JP"/>
              </w:rPr>
              <w:t xml:space="preserve"> is the last UL slot overlapping with the DL slot </w:t>
            </w:r>
            <m:oMath>
              <m:sSub>
                <m:sSubPr>
                  <m:ctrlPr>
                    <w:rPr>
                      <w:rFonts w:ascii="Cambria Math" w:eastAsia="Malgun Gothic" w:hAnsi="Cambria Math" w:cs="Calibri"/>
                      <w:i/>
                      <w:iCs/>
                      <w:color w:val="000000"/>
                      <w:sz w:val="22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color w:val="000000"/>
                      <w:lang w:val="zh-CN" w:eastAsia="ja-JP"/>
                    </w:rPr>
                    <m:t>n</m:t>
                  </m:r>
                </m:e>
                <m:sub>
                  <m:r>
                    <w:rPr>
                      <w:rFonts w:ascii="Cambria Math" w:eastAsia="Times New Roman" w:hAnsi="Cambria Math"/>
                      <w:color w:val="000000"/>
                      <w:lang w:val="zh-CN" w:eastAsia="ja-JP"/>
                    </w:rPr>
                    <m:t>D</m:t>
                  </m:r>
                </m:sub>
              </m:sSub>
            </m:oMath>
            <w:r>
              <w:rPr>
                <w:rFonts w:eastAsia="Times New Roman" w:cs="Times"/>
                <w:color w:val="000000"/>
                <w:lang w:eastAsia="ja-JP"/>
              </w:rPr>
              <w:fldChar w:fldCharType="begin"/>
            </w:r>
            <w:r>
              <w:rPr>
                <w:rFonts w:eastAsia="Times New Roman" w:cs="Times"/>
                <w:color w:val="000000"/>
                <w:lang w:eastAsia="ja-JP"/>
              </w:rPr>
              <w:instrText xml:space="preserve"> QUOTE </w:instrText>
            </w:r>
            <w:r w:rsidR="00B502F2">
              <w:rPr>
                <w:rFonts w:cs="Times"/>
                <w:position w:val="-5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.5pt;height:12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5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4E39&quot;/&gt;&lt;wsp:rsid wsp:val=&quot;00006409&quot;/&gt;&lt;wsp:rsid wsp:val=&quot;00006E91&quot;/&gt;&lt;wsp:rsid wsp:val=&quot;00010987&quot;/&gt;&lt;wsp:rsid wsp:val=&quot;000110FD&quot;/&gt;&lt;wsp:rsid wsp:val=&quot;00011AB6&quot;/&gt;&lt;wsp:rsid wsp:val=&quot;000120E6&quot;/&gt;&lt;wsp:rsid wsp:val=&quot;00012A46&quot;/&gt;&lt;wsp:rsid wsp:val=&quot;0001459F&quot;/&gt;&lt;wsp:rsid wsp:val=&quot;000154E8&quot;/&gt;&lt;wsp:rsid wsp:val=&quot;00017452&quot;/&gt;&lt;wsp:rsid wsp:val=&quot;00020267&quot;/&gt;&lt;wsp:rsid wsp:val=&quot;000206F5&quot;/&gt;&lt;wsp:rsid wsp:val=&quot;00021963&quot;/&gt;&lt;wsp:rsid wsp:val=&quot;00021A46&quot;/&gt;&lt;wsp:rsid wsp:val=&quot;00024349&quot;/&gt;&lt;wsp:rsid wsp:val=&quot;00027418&quot;/&gt;&lt;wsp:rsid wsp:val=&quot;00027D89&quot;/&gt;&lt;wsp:rsid wsp:val=&quot;000317B5&quot;/&gt;&lt;wsp:rsid wsp:val=&quot;00031B9B&quot;/&gt;&lt;wsp:rsid wsp:val=&quot;00035C3D&quot;/&gt;&lt;wsp:rsid wsp:val=&quot;00036A86&quot;/&gt;&lt;wsp:rsid wsp:val=&quot;00040649&quot;/&gt;&lt;wsp:rsid wsp:val=&quot;000433A1&quot;/&gt;&lt;wsp:rsid wsp:val=&quot;000507E7&quot;/&gt;&lt;wsp:rsid wsp:val=&quot;00052672&quot;/&gt;&lt;wsp:rsid wsp:val=&quot;00053611&quot;/&gt;&lt;wsp:rsid wsp:val=&quot;00053F06&quot;/&gt;&lt;wsp:rsid wsp:val=&quot;00054572&quot;/&gt;&lt;wsp:rsid wsp:val=&quot;0005483A&quot;/&gt;&lt;wsp:rsid wsp:val=&quot;00054DD5&quot;/&gt;&lt;wsp:rsid wsp:val=&quot;00055330&quot;/&gt;&lt;wsp:rsid wsp:val=&quot;000559EC&quot;/&gt;&lt;wsp:rsid wsp:val=&quot;000602FC&quot;/&gt;&lt;wsp:rsid wsp:val=&quot;00060542&quot;/&gt;&lt;wsp:rsid wsp:val=&quot;000605DA&quot;/&gt;&lt;wsp:rsid wsp:val=&quot;00065F0F&quot;/&gt;&lt;wsp:rsid wsp:val=&quot;0006620E&quot;/&gt;&lt;wsp:rsid wsp:val=&quot;00066792&quot;/&gt;&lt;wsp:rsid wsp:val=&quot;00066D00&quot;/&gt;&lt;wsp:rsid wsp:val=&quot;00070E52&quot;/&gt;&lt;wsp:rsid wsp:val=&quot;000715FF&quot;/&gt;&lt;wsp:rsid wsp:val=&quot;00073C45&quot;/&gt;&lt;wsp:rsid wsp:val=&quot;00074A3E&quot;/&gt;&lt;wsp:rsid wsp:val=&quot;000757DE&quot;/&gt;&lt;wsp:rsid wsp:val=&quot;00076C50&quot;/&gt;&lt;wsp:rsid wsp:val=&quot;000809D1&quot;/&gt;&lt;wsp:rsid wsp:val=&quot;00080EAD&quot;/&gt;&lt;wsp:rsid wsp:val=&quot;00081DC3&quot;/&gt;&lt;wsp:rsid wsp:val=&quot;00082817&quot;/&gt;&lt;wsp:rsid wsp:val=&quot;00082838&quot;/&gt;&lt;wsp:rsid wsp:val=&quot;00083D4D&quot;/&gt;&lt;wsp:rsid wsp:val=&quot;0008411C&quot;/&gt;&lt;wsp:rsid wsp:val=&quot;000845D8&quot;/&gt;&lt;wsp:rsid wsp:val=&quot;00084952&quot;/&gt;&lt;wsp:rsid wsp:val=&quot;00085529&quot;/&gt;&lt;wsp:rsid wsp:val=&quot;000855D3&quot;/&gt;&lt;wsp:rsid wsp:val=&quot;00086724&quot;/&gt;&lt;wsp:rsid wsp:val=&quot;00090E70&quot;/&gt;&lt;wsp:rsid wsp:val=&quot;00091BCB&quot;/&gt;&lt;wsp:rsid wsp:val=&quot;00091EF4&quot;/&gt;&lt;wsp:rsid wsp:val=&quot;000936AA&quot;/&gt;&lt;wsp:rsid wsp:val=&quot;000942B3&quot;/&gt;&lt;wsp:rsid wsp:val=&quot;000A0641&quot;/&gt;&lt;wsp:rsid wsp:val=&quot;000A4071&quot;/&gt;&lt;wsp:rsid wsp:val=&quot;000A7BB3&quot;/&gt;&lt;wsp:rsid wsp:val=&quot;000B0C22&quot;/&gt;&lt;wsp:rsid wsp:val=&quot;000B11A6&quot;/&gt;&lt;wsp:rsid wsp:val=&quot;000B2B55&quot;/&gt;&lt;wsp:rsid wsp:val=&quot;000B63DA&quot;/&gt;&lt;wsp:rsid wsp:val=&quot;000C1B83&quot;/&gt;&lt;wsp:rsid wsp:val=&quot;000C256E&quot;/&gt;&lt;wsp:rsid wsp:val=&quot;000C5D3E&quot;/&gt;&lt;wsp:rsid wsp:val=&quot;000C711E&quot;/&gt;&lt;wsp:rsid wsp:val=&quot;000C748B&quot;/&gt;&lt;wsp:rsid wsp:val=&quot;000C74E2&quot;/&gt;&lt;wsp:rsid wsp:val=&quot;000D242E&quot;/&gt;&lt;wsp:rsid wsp:val=&quot;000D4116&quot;/&gt;&lt;wsp:rsid wsp:val=&quot;000D4E7D&quot;/&gt;&lt;wsp:rsid wsp:val=&quot;000D509D&quot;/&gt;&lt;wsp:rsid wsp:val=&quot;000E474A&quot;/&gt;&lt;wsp:rsid wsp:val=&quot;000E5BCB&quot;/&gt;&lt;wsp:rsid wsp:val=&quot;000E67A5&quot;/&gt;&lt;wsp:rsid wsp:val=&quot;000E769B&quot;/&gt;&lt;wsp:rsid wsp:val=&quot;000E7B9F&quot;/&gt;&lt;wsp:rsid wsp:val=&quot;000E7C28&quot;/&gt;&lt;wsp:rsid wsp:val=&quot;000F59FD&quot;/&gt;&lt;wsp:rsid wsp:val=&quot;000F6245&quot;/&gt;&lt;wsp:rsid wsp:val=&quot;0010118E&quot;/&gt;&lt;wsp:rsid wsp:val=&quot;00101AB3&quot;/&gt;&lt;wsp:rsid wsp:val=&quot;0010230E&quot;/&gt;&lt;wsp:rsid wsp:val=&quot;00102F11&quot;/&gt;&lt;wsp:rsid wsp:val=&quot;00111908&quot;/&gt;&lt;wsp:rsid wsp:val=&quot;001152C3&quot;/&gt;&lt;wsp:rsid wsp:val=&quot;00115789&quot;/&gt;&lt;wsp:rsid wsp:val=&quot;001163A1&quot;/&gt;&lt;wsp:rsid wsp:val=&quot;0011715B&quot;/&gt;&lt;wsp:rsid wsp:val=&quot;00131CB0&quot;/&gt;&lt;wsp:rsid wsp:val=&quot;00132CBE&quot;/&gt;&lt;wsp:rsid wsp:val=&quot;00136D3B&quot;/&gt;&lt;wsp:rsid wsp:val=&quot;00137354&quot;/&gt;&lt;wsp:rsid wsp:val=&quot;001379E3&quot;/&gt;&lt;wsp:rsid wsp:val=&quot;001425C3&quot;/&gt;&lt;wsp:rsid wsp:val=&quot;00143D20&quot;/&gt;&lt;wsp:rsid wsp:val=&quot;00144828&quot;/&gt;&lt;wsp:rsid wsp:val=&quot;0014584C&quot;/&gt;&lt;wsp:rsid wsp:val=&quot;00151DA2&quot;/&gt;&lt;wsp:rsid wsp:val=&quot;00151E20&quot;/&gt;&lt;wsp:rsid wsp:val=&quot;00155E26&quot;/&gt;&lt;wsp:rsid wsp:val=&quot;00156174&quot;/&gt;&lt;wsp:rsid wsp:val=&quot;0016272E&quot;/&gt;&lt;wsp:rsid wsp:val=&quot;00166BB5&quot;/&gt;&lt;wsp:rsid wsp:val=&quot;00166FB4&quot;/&gt;&lt;wsp:rsid wsp:val=&quot;001671FB&quot;/&gt;&lt;wsp:rsid wsp:val=&quot;00167330&quot;/&gt;&lt;wsp:rsid wsp:val=&quot;0017210B&quot;/&gt;&lt;wsp:rsid wsp:val=&quot;00173921&quot;/&gt;&lt;wsp:rsid wsp:val=&quot;00174710&quot;/&gt;&lt;wsp:rsid wsp:val=&quot;001777C6&quot;/&gt;&lt;wsp:rsid wsp:val=&quot;0018004F&quot;/&gt;&lt;wsp:rsid wsp:val=&quot;00181906&quot;/&gt;&lt;wsp:rsid wsp:val=&quot;00182437&quot;/&gt;&lt;wsp:rsid wsp:val=&quot;00184862&quot;/&gt;&lt;wsp:rsid wsp:val=&quot;00186520&quot;/&gt;&lt;wsp:rsid wsp:val=&quot;001876FA&quot;/&gt;&lt;wsp:rsid wsp:val=&quot;0019106C&quot;/&gt;&lt;wsp:rsid wsp:val=&quot;00191378&quot;/&gt;&lt;wsp:rsid wsp:val=&quot;0019426E&quot;/&gt;&lt;wsp:rsid wsp:val=&quot;0019668C&quot;/&gt;&lt;wsp:rsid wsp:val=&quot;001A235A&quot;/&gt;&lt;wsp:rsid wsp:val=&quot;001A2677&quot;/&gt;&lt;wsp:rsid wsp:val=&quot;001A35F9&quot;/&gt;&lt;wsp:rsid wsp:val=&quot;001A68A2&quot;/&gt;&lt;wsp:rsid wsp:val=&quot;001B141B&quot;/&gt;&lt;wsp:rsid wsp:val=&quot;001B54E1&quot;/&gt;&lt;wsp:rsid wsp:val=&quot;001B70FA&quot;/&gt;&lt;wsp:rsid wsp:val=&quot;001C40D9&quot;/&gt;&lt;wsp:rsid wsp:val=&quot;001C5621&quot;/&gt;&lt;wsp:rsid wsp:val=&quot;001C74BE&quot;/&gt;&lt;wsp:rsid wsp:val=&quot;001D150F&quot;/&gt;&lt;wsp:rsid wsp:val=&quot;001D2221&quot;/&gt;&lt;wsp:rsid wsp:val=&quot;001D242B&quot;/&gt;&lt;wsp:rsid wsp:val=&quot;001D2AE5&quot;/&gt;&lt;wsp:rsid wsp:val=&quot;001D4A39&quot;/&gt;&lt;wsp:rsid wsp:val=&quot;001D52A5&quot;/&gt;&lt;wsp:rsid wsp:val=&quot;001D6F1E&quot;/&gt;&lt;wsp:rsid wsp:val=&quot;001D7AE8&quot;/&gt;&lt;wsp:rsid wsp:val=&quot;001E135D&quot;/&gt;&lt;wsp:rsid wsp:val=&quot;001E36B3&quot;/&gt;&lt;wsp:rsid wsp:val=&quot;001F00C6&quot;/&gt;&lt;wsp:rsid wsp:val=&quot;001F0301&quot;/&gt;&lt;wsp:rsid wsp:val=&quot;001F0B04&quot;/&gt;&lt;wsp:rsid wsp:val=&quot;001F10D7&quot;/&gt;&lt;wsp:rsid wsp:val=&quot;001F1D5C&quot;/&gt;&lt;wsp:rsid wsp:val=&quot;001F289F&quot;/&gt;&lt;wsp:rsid wsp:val=&quot;001F2915&quot;/&gt;&lt;wsp:rsid wsp:val=&quot;001F2C8F&quot;/&gt;&lt;wsp:rsid wsp:val=&quot;001F5814&quot;/&gt;&lt;wsp:rsid wsp:val=&quot;001F674C&quot;/&gt;&lt;wsp:rsid wsp:val=&quot;001F6988&quot;/&gt;&lt;wsp:rsid wsp:val=&quot;00202C71&quot;/&gt;&lt;wsp:rsid wsp:val=&quot;00203656&quot;/&gt;&lt;wsp:rsid wsp:val=&quot;00204DAA&quot;/&gt;&lt;wsp:rsid wsp:val=&quot;00205A7D&quot;/&gt;&lt;wsp:rsid wsp:val=&quot;00205AC0&quot;/&gt;&lt;wsp:rsid wsp:val=&quot;00207C8A&quot;/&gt;&lt;wsp:rsid wsp:val=&quot;00211448&quot;/&gt;&lt;wsp:rsid wsp:val=&quot;00214F2A&quot;/&gt;&lt;wsp:rsid wsp:val=&quot;00216B56&quot;/&gt;&lt;wsp:rsid wsp:val=&quot;00220AF2&quot;/&gt;&lt;wsp:rsid wsp:val=&quot;0022115E&quot;/&gt;&lt;wsp:rsid wsp:val=&quot;002216DD&quot;/&gt;&lt;wsp:rsid wsp:val=&quot;00221E20&quot;/&gt;&lt;wsp:rsid wsp:val=&quot;00222232&quot;/&gt;&lt;wsp:rsid wsp:val=&quot;002229BC&quot;/&gt;&lt;wsp:rsid wsp:val=&quot;00223459&quot;/&gt;&lt;wsp:rsid wsp:val=&quot;002244B6&quot;/&gt;&lt;wsp:rsid wsp:val=&quot;00226592&quot;/&gt;&lt;wsp:rsid wsp:val=&quot;00227EBE&quot;/&gt;&lt;wsp:rsid wsp:val=&quot;0023073C&quot;/&gt;&lt;wsp:rsid wsp:val=&quot;002318A4&quot;/&gt;&lt;wsp:rsid wsp:val=&quot;00231B28&quot;/&gt;&lt;wsp:rsid wsp:val=&quot;00232922&quot;/&gt;&lt;wsp:rsid wsp:val=&quot;002344BB&quot;/&gt;&lt;wsp:rsid wsp:val=&quot;00234E73&quot;/&gt;&lt;wsp:rsid wsp:val=&quot;00237671&quot;/&gt;&lt;wsp:rsid wsp:val=&quot;002403C8&quot;/&gt;&lt;wsp:rsid wsp:val=&quot;002418CB&quot;/&gt;&lt;wsp:rsid wsp:val=&quot;00242421&quot;/&gt;&lt;wsp:rsid wsp:val=&quot;00242A3D&quot;/&gt;&lt;wsp:rsid wsp:val=&quot;00245C48&quot;/&gt;&lt;wsp:rsid wsp:val=&quot;00245C9D&quot;/&gt;&lt;wsp:rsid wsp:val=&quot;00246843&quot;/&gt;&lt;wsp:rsid wsp:val=&quot;0025466B&quot;/&gt;&lt;wsp:rsid wsp:val=&quot;00255925&quot;/&gt;&lt;wsp:rsid wsp:val=&quot;00256228&quot;/&gt;&lt;wsp:rsid wsp:val=&quot;0025787C&quot;/&gt;&lt;wsp:rsid wsp:val=&quot;00260E76&quot;/&gt;&lt;wsp:rsid wsp:val=&quot;00261DC1&quot;/&gt;&lt;wsp:rsid wsp:val=&quot;0026539A&quot;/&gt;&lt;wsp:rsid wsp:val=&quot;00265760&quot;/&gt;&lt;wsp:rsid wsp:val=&quot;00270528&quot;/&gt;&lt;wsp:rsid wsp:val=&quot;00270EE9&quot;/&gt;&lt;wsp:rsid wsp:val=&quot;00271CD9&quot;/&gt;&lt;wsp:rsid wsp:val=&quot;00274048&quot;/&gt;&lt;wsp:rsid wsp:val=&quot;00277FBD&quot;/&gt;&lt;wsp:rsid wsp:val=&quot;00280429&quot;/&gt;&lt;wsp:rsid wsp:val=&quot;00282066&quot;/&gt;&lt;wsp:rsid wsp:val=&quot;00282E2C&quot;/&gt;&lt;wsp:rsid wsp:val=&quot;002839A8&quot;/&gt;&lt;wsp:rsid wsp:val=&quot;00284220&quot;/&gt;&lt;wsp:rsid wsp:val=&quot;00287C66&quot;/&gt;&lt;wsp:rsid wsp:val=&quot;00290608&quot;/&gt;&lt;wsp:rsid wsp:val=&quot;00290918&quot;/&gt;&lt;wsp:rsid wsp:val=&quot;00293A4D&quot;/&gt;&lt;wsp:rsid wsp:val=&quot;00293C36&quot;/&gt;&lt;wsp:rsid wsp:val=&quot;00293DB3&quot;/&gt;&lt;wsp:rsid wsp:val=&quot;0029433B&quot;/&gt;&lt;wsp:rsid wsp:val=&quot;0029757E&quot;/&gt;&lt;wsp:rsid wsp:val=&quot;002975B2&quot;/&gt;&lt;wsp:rsid wsp:val=&quot;002A1E7D&quot;/&gt;&lt;wsp:rsid wsp:val=&quot;002A3018&quot;/&gt;&lt;wsp:rsid wsp:val=&quot;002A41BD&quot;/&gt;&lt;wsp:rsid wsp:val=&quot;002A6961&quot;/&gt;&lt;wsp:rsid wsp:val=&quot;002B0873&quot;/&gt;&lt;wsp:rsid wsp:val=&quot;002B1FFA&quot;/&gt;&lt;wsp:rsid wsp:val=&quot;002B3983&quot;/&gt;&lt;wsp:rsid wsp:val=&quot;002B4B78&quot;/&gt;&lt;wsp:rsid wsp:val=&quot;002B544D&quot;/&gt;&lt;wsp:rsid wsp:val=&quot;002B6E04&quot;/&gt;&lt;wsp:rsid wsp:val=&quot;002B6E21&quot;/&gt;&lt;wsp:rsid wsp:val=&quot;002C0232&quot;/&gt;&lt;wsp:rsid wsp:val=&quot;002C1F3A&quot;/&gt;&lt;wsp:rsid wsp:val=&quot;002C254A&quot;/&gt;&lt;wsp:rsid wsp:val=&quot;002C4606&quot;/&gt;&lt;wsp:rsid wsp:val=&quot;002C7702&quot;/&gt;&lt;wsp:rsid wsp:val=&quot;002D1A4A&quot;/&gt;&lt;wsp:rsid wsp:val=&quot;002D4D40&quot;/&gt;&lt;wsp:rsid wsp:val=&quot;002D59C7&quot;/&gt;&lt;wsp:rsid wsp:val=&quot;002E099E&quot;/&gt;&lt;wsp:rsid wsp:val=&quot;002E0D0B&quot;/&gt;&lt;wsp:rsid wsp:val=&quot;002E1DF6&quot;/&gt;&lt;wsp:rsid wsp:val=&quot;002E34E6&quot;/&gt;&lt;wsp:rsid wsp:val=&quot;002F0409&quot;/&gt;&lt;wsp:rsid wsp:val=&quot;002F265A&quot;/&gt;&lt;wsp:rsid wsp:val=&quot;002F2CAA&quot;/&gt;&lt;wsp:rsid wsp:val=&quot;002F432C&quot;/&gt;&lt;wsp:rsid wsp:val=&quot;002F4411&quot;/&gt;&lt;wsp:rsid wsp:val=&quot;002F4938&quot;/&gt;&lt;wsp:rsid wsp:val=&quot;002F4ACC&quot;/&gt;&lt;wsp:rsid wsp:val=&quot;002F7271&quot;/&gt;&lt;wsp:rsid wsp:val=&quot;00304E3E&quot;/&gt;&lt;wsp:rsid wsp:val=&quot;00305EC2&quot;/&gt;&lt;wsp:rsid wsp:val=&quot;003073C7&quot;/&gt;&lt;wsp:rsid wsp:val=&quot;0031029F&quot;/&gt;&lt;wsp:rsid wsp:val=&quot;00311EFF&quot;/&gt;&lt;wsp:rsid wsp:val=&quot;00312DA3&quot;/&gt;&lt;wsp:rsid wsp:val=&quot;00316115&quot;/&gt;&lt;wsp:rsid wsp:val=&quot;003161EF&quot;/&gt;&lt;wsp:rsid wsp:val=&quot;00316C34&quot;/&gt;&lt;wsp:rsid wsp:val=&quot;003216E6&quot;/&gt;&lt;wsp:rsid wsp:val=&quot;003218BF&quot;/&gt;&lt;wsp:rsid wsp:val=&quot;003226AA&quot;/&gt;&lt;wsp:rsid wsp:val=&quot;0032301D&quot;/&gt;&lt;wsp:rsid wsp:val=&quot;003230FF&quot;/&gt;&lt;wsp:rsid wsp:val=&quot;003234F6&quot;/&gt;&lt;wsp:rsid wsp:val=&quot;003264F6&quot;/&gt;&lt;wsp:rsid wsp:val=&quot;003269DE&quot;/&gt;&lt;wsp:rsid wsp:val=&quot;0033037F&quot;/&gt;&lt;wsp:rsid wsp:val=&quot;00334D5B&quot;/&gt;&lt;wsp:rsid wsp:val=&quot;003373B9&quot;/&gt;&lt;wsp:rsid wsp:val=&quot;00340324&quot;/&gt;&lt;wsp:rsid wsp:val=&quot;00343017&quot;/&gt;&lt;wsp:rsid wsp:val=&quot;00343A55&quot;/&gt;&lt;wsp:rsid wsp:val=&quot;00343B72&quot;/&gt;&lt;wsp:rsid wsp:val=&quot;00344FAC&quot;/&gt;&lt;wsp:rsid wsp:val=&quot;00345EEA&quot;/&gt;&lt;wsp:rsid wsp:val=&quot;0035000C&quot;/&gt;&lt;wsp:rsid wsp:val=&quot;00350127&quot;/&gt;&lt;wsp:rsid wsp:val=&quot;003521DB&quot;/&gt;&lt;wsp:rsid wsp:val=&quot;003544C1&quot;/&gt;&lt;wsp:rsid wsp:val=&quot;00354FD1&quot;/&gt;&lt;wsp:rsid wsp:val=&quot;003603C7&quot;/&gt;&lt;wsp:rsid wsp:val=&quot;0036068C&quot;/&gt;&lt;wsp:rsid wsp:val=&quot;0036084B&quot;/&gt;&lt;wsp:rsid wsp:val=&quot;00363A95&quot;/&gt;&lt;wsp:rsid wsp:val=&quot;00364947&quot;/&gt;&lt;wsp:rsid wsp:val=&quot;003653F4&quot;/&gt;&lt;wsp:rsid wsp:val=&quot;00365442&quot;/&gt;&lt;wsp:rsid wsp:val=&quot;003657DD&quot;/&gt;&lt;wsp:rsid wsp:val=&quot;003713F7&quot;/&gt;&lt;wsp:rsid wsp:val=&quot;0037212B&quot;/&gt;&lt;wsp:rsid wsp:val=&quot;00373044&quot;/&gt;&lt;wsp:rsid wsp:val=&quot;003762A7&quot;/&gt;&lt;wsp:rsid wsp:val=&quot;003764C2&quot;/&gt;&lt;wsp:rsid wsp:val=&quot;00377836&quot;/&gt;&lt;wsp:rsid wsp:val=&quot;00380C48&quot;/&gt;&lt;wsp:rsid wsp:val=&quot;00380D01&quot;/&gt;&lt;wsp:rsid wsp:val=&quot;00381FDB&quot;/&gt;&lt;wsp:rsid wsp:val=&quot;00382901&quot;/&gt;&lt;wsp:rsid wsp:val=&quot;003853C1&quot;/&gt;&lt;wsp:rsid wsp:val=&quot;00386888&quot;/&gt;&lt;wsp:rsid wsp:val=&quot;00392A3A&quot;/&gt;&lt;wsp:rsid wsp:val=&quot;003A135F&quot;/&gt;&lt;wsp:rsid wsp:val=&quot;003A2DB3&quot;/&gt;&lt;wsp:rsid wsp:val=&quot;003A44B8&quot;/&gt;&lt;wsp:rsid wsp:val=&quot;003A4566&quot;/&gt;&lt;wsp:rsid wsp:val=&quot;003A4607&quot;/&gt;&lt;wsp:rsid wsp:val=&quot;003B0BF8&quot;/&gt;&lt;wsp:rsid wsp:val=&quot;003B3DC0&quot;/&gt;&lt;wsp:rsid wsp:val=&quot;003B4425&quot;/&gt;&lt;wsp:rsid wsp:val=&quot;003B5963&quot;/&gt;&lt;wsp:rsid wsp:val=&quot;003B6548&quot;/&gt;&lt;wsp:rsid wsp:val=&quot;003C1E91&quot;/&gt;&lt;wsp:rsid wsp:val=&quot;003D07BC&quot;/&gt;&lt;wsp:rsid wsp:val=&quot;003D1802&quot;/&gt;&lt;wsp:rsid wsp:val=&quot;003D297B&quot;/&gt;&lt;wsp:rsid wsp:val=&quot;003D2EA4&quot;/&gt;&lt;wsp:rsid wsp:val=&quot;003D33A8&quot;/&gt;&lt;wsp:rsid wsp:val=&quot;003D5708&quot;/&gt;&lt;wsp:rsid wsp:val=&quot;003D7072&quot;/&gt;&lt;wsp:rsid wsp:val=&quot;003E0305&quot;/&gt;&lt;wsp:rsid wsp:val=&quot;003E19BD&quot;/&gt;&lt;wsp:rsid wsp:val=&quot;003E5C9B&quot;/&gt;&lt;wsp:rsid wsp:val=&quot;003E5D47&quot;/&gt;&lt;wsp:rsid wsp:val=&quot;003E7642&quot;/&gt;&lt;wsp:rsid wsp:val=&quot;003F24FD&quot;/&gt;&lt;wsp:rsid wsp:val=&quot;003F3D27&quot;/&gt;&lt;wsp:rsid wsp:val=&quot;003F3FBD&quot;/&gt;&lt;wsp:rsid wsp:val=&quot;003F4632&quot;/&gt;&lt;wsp:rsid wsp:val=&quot;003F4797&quot;/&gt;&lt;wsp:rsid wsp:val=&quot;003F47B5&quot;/&gt;&lt;wsp:rsid wsp:val=&quot;00401B3F&quot;/&gt;&lt;wsp:rsid wsp:val=&quot;00403DB9&quot;/&gt;&lt;wsp:rsid wsp:val=&quot;00405DE6&quot;/&gt;&lt;wsp:rsid wsp:val=&quot;004109C3&quot;/&gt;&lt;wsp:rsid wsp:val=&quot;00413B4E&quot;/&gt;&lt;wsp:rsid wsp:val=&quot;00414181&quot;/&gt;&lt;wsp:rsid wsp:val=&quot;0041520D&quot;/&gt;&lt;wsp:rsid wsp:val=&quot;00416BF7&quot;/&gt;&lt;wsp:rsid wsp:val=&quot;00417938&quot;/&gt;&lt;wsp:rsid wsp:val=&quot;00420340&quot;/&gt;&lt;wsp:rsid wsp:val=&quot;004206FA&quot;/&gt;&lt;wsp:rsid wsp:val=&quot;00420A05&quot;/&gt;&lt;wsp:rsid wsp:val=&quot;00424BE9&quot;/&gt;&lt;wsp:rsid wsp:val=&quot;00426D71&quot;/&gt;&lt;wsp:rsid wsp:val=&quot;0042752A&quot;/&gt;&lt;wsp:rsid wsp:val=&quot;00431123&quot;/&gt;&lt;wsp:rsid wsp:val=&quot;00431E83&quot;/&gt;&lt;wsp:rsid wsp:val=&quot;00432F62&quot;/&gt;&lt;wsp:rsid wsp:val=&quot;00434A9E&quot;/&gt;&lt;wsp:rsid wsp:val=&quot;00437B5E&quot;/&gt;&lt;wsp:rsid wsp:val=&quot;004404D9&quot;/&gt;&lt;wsp:rsid wsp:val=&quot;00446A5C&quot;/&gt;&lt;wsp:rsid wsp:val=&quot;00447108&quot;/&gt;&lt;wsp:rsid wsp:val=&quot;00447911&quot;/&gt;&lt;wsp:rsid wsp:val=&quot;00447AF2&quot;/&gt;&lt;wsp:rsid wsp:val=&quot;00450075&quot;/&gt;&lt;wsp:rsid wsp:val=&quot;00452786&quot;/&gt;&lt;wsp:rsid wsp:val=&quot;00455581&quot;/&gt;&lt;wsp:rsid wsp:val=&quot;00456B9E&quot;/&gt;&lt;wsp:rsid wsp:val=&quot;00456CDC&quot;/&gt;&lt;wsp:rsid wsp:val=&quot;004604FD&quot;/&gt;&lt;wsp:rsid wsp:val=&quot;00460DBF&quot;/&gt;&lt;wsp:rsid wsp:val=&quot;00461A9A&quot;/&gt;&lt;wsp:rsid wsp:val=&quot;00462878&quot;/&gt;&lt;wsp:rsid wsp:val=&quot;00462B81&quot;/&gt;&lt;wsp:rsid wsp:val=&quot;00462BD0&quot;/&gt;&lt;wsp:rsid wsp:val=&quot;0046456D&quot;/&gt;&lt;wsp:rsid wsp:val=&quot;004652D2&quot;/&gt;&lt;wsp:rsid wsp:val=&quot;00466522&quot;/&gt;&lt;wsp:rsid wsp:val=&quot;00466919&quot;/&gt;&lt;wsp:rsid wsp:val=&quot;004754AD&quot;/&gt;&lt;wsp:rsid wsp:val=&quot;00475544&quot;/&gt;&lt;wsp:rsid wsp:val=&quot;00475EC3&quot;/&gt;&lt;wsp:rsid wsp:val=&quot;00476B83&quot;/&gt;&lt;wsp:rsid wsp:val=&quot;004771D1&quot;/&gt;&lt;wsp:rsid wsp:val=&quot;004772FB&quot;/&gt;&lt;wsp:rsid wsp:val=&quot;0047792F&quot;/&gt;&lt;wsp:rsid wsp:val=&quot;0048579F&quot;/&gt;&lt;wsp:rsid wsp:val=&quot;00485E45&quot;/&gt;&lt;wsp:rsid wsp:val=&quot;0049013E&quot;/&gt;&lt;wsp:rsid wsp:val=&quot;004902E0&quot;/&gt;&lt;wsp:rsid wsp:val=&quot;004907E0&quot;/&gt;&lt;wsp:rsid wsp:val=&quot;00490947&quot;/&gt;&lt;wsp:rsid wsp:val=&quot;004910AC&quot;/&gt;&lt;wsp:rsid wsp:val=&quot;00491A06&quot;/&gt;&lt;wsp:rsid wsp:val=&quot;0049422F&quot;/&gt;&lt;wsp:rsid wsp:val=&quot;004945F3&quot;/&gt;&lt;wsp:rsid wsp:val=&quot;004952EA&quot;/&gt;&lt;wsp:rsid wsp:val=&quot;00496419&quot;/&gt;&lt;wsp:rsid wsp:val=&quot;004978B4&quot;/&gt;&lt;wsp:rsid wsp:val=&quot;004A0B7F&quot;/&gt;&lt;wsp:rsid wsp:val=&quot;004A13B1&quot;/&gt;&lt;wsp:rsid wsp:val=&quot;004A2107&quot;/&gt;&lt;wsp:rsid wsp:val=&quot;004A5270&quot;/&gt;&lt;wsp:rsid wsp:val=&quot;004A7E9C&quot;/&gt;&lt;wsp:rsid wsp:val=&quot;004B0F6E&quot;/&gt;&lt;wsp:rsid wsp:val=&quot;004B2029&quot;/&gt;&lt;wsp:rsid wsp:val=&quot;004B387A&quot;/&gt;&lt;wsp:rsid wsp:val=&quot;004B5B8C&quot;/&gt;&lt;wsp:rsid wsp:val=&quot;004C1070&quot;/&gt;&lt;wsp:rsid wsp:val=&quot;004C20CB&quot;/&gt;&lt;wsp:rsid wsp:val=&quot;004C2920&quot;/&gt;&lt;wsp:rsid wsp:val=&quot;004C3E45&quot;/&gt;&lt;wsp:rsid wsp:val=&quot;004C5181&quot;/&gt;&lt;wsp:rsid wsp:val=&quot;004C6028&quot;/&gt;&lt;wsp:rsid wsp:val=&quot;004C6C1E&quot;/&gt;&lt;wsp:rsid wsp:val=&quot;004C7602&quot;/&gt;&lt;wsp:rsid wsp:val=&quot;004C779A&quot;/&gt;&lt;wsp:rsid wsp:val=&quot;004C7A79&quot;/&gt;&lt;wsp:rsid wsp:val=&quot;004D31D3&quot;/&gt;&lt;wsp:rsid wsp:val=&quot;004D61FD&quot;/&gt;&lt;wsp:rsid wsp:val=&quot;004E14BC&quot;/&gt;&lt;wsp:rsid wsp:val=&quot;004E17E4&quot;/&gt;&lt;wsp:rsid wsp:val=&quot;004E1DF7&quot;/&gt;&lt;wsp:rsid wsp:val=&quot;004E1E2B&quot;/&gt;&lt;wsp:rsid wsp:val=&quot;004E3F81&quot;/&gt;&lt;wsp:rsid wsp:val=&quot;004E40C3&quot;/&gt;&lt;wsp:rsid wsp:val=&quot;004E4D94&quot;/&gt;&lt;wsp:rsid wsp:val=&quot;004F0112&quot;/&gt;&lt;wsp:rsid wsp:val=&quot;004F1B3B&quot;/&gt;&lt;wsp:rsid wsp:val=&quot;004F4912&quot;/&gt;&lt;wsp:rsid wsp:val=&quot;00503AFC&quot;/&gt;&lt;wsp:rsid wsp:val=&quot;00505B34&quot;/&gt;&lt;wsp:rsid wsp:val=&quot;005073FD&quot;/&gt;&lt;wsp:rsid wsp:val=&quot;005104F5&quot;/&gt;&lt;wsp:rsid wsp:val=&quot;00510DA2&quot;/&gt;&lt;wsp:rsid wsp:val=&quot;005121D4&quot;/&gt;&lt;wsp:rsid wsp:val=&quot;005141A2&quot;/&gt;&lt;wsp:rsid wsp:val=&quot;00514701&quot;/&gt;&lt;wsp:rsid wsp:val=&quot;00516369&quot;/&gt;&lt;wsp:rsid wsp:val=&quot;0051773E&quot;/&gt;&lt;wsp:rsid wsp:val=&quot;00520080&quot;/&gt;&lt;wsp:rsid wsp:val=&quot;0052169B&quot;/&gt;&lt;wsp:rsid wsp:val=&quot;00521FA7&quot;/&gt;&lt;wsp:rsid wsp:val=&quot;00523B95&quot;/&gt;&lt;wsp:rsid wsp:val=&quot;00524913&quot;/&gt;&lt;wsp:rsid wsp:val=&quot;00524E96&quot;/&gt;&lt;wsp:rsid wsp:val=&quot;00527C78&quot;/&gt;&lt;wsp:rsid wsp:val=&quot;0053544C&quot;/&gt;&lt;wsp:rsid wsp:val=&quot;0053647A&quot;/&gt;&lt;wsp:rsid wsp:val=&quot;00540A88&quot;/&gt;&lt;wsp:rsid wsp:val=&quot;00544A61&quot;/&gt;&lt;wsp:rsid wsp:val=&quot;00545925&quot;/&gt;&lt;wsp:rsid wsp:val=&quot;00546BEF&quot;/&gt;&lt;wsp:rsid wsp:val=&quot;00547AEB&quot;/&gt;&lt;wsp:rsid wsp:val=&quot;005512B2&quot;/&gt;&lt;wsp:rsid wsp:val=&quot;005519E2&quot;/&gt;&lt;wsp:rsid wsp:val=&quot;00552625&quot;/&gt;&lt;wsp:rsid wsp:val=&quot;00552900&quot;/&gt;&lt;wsp:rsid wsp:val=&quot;00553E3A&quot;/&gt;&lt;wsp:rsid wsp:val=&quot;00554E95&quot;/&gt;&lt;wsp:rsid wsp:val=&quot;00556A4D&quot;/&gt;&lt;wsp:rsid wsp:val=&quot;00557552&quot;/&gt;&lt;wsp:rsid wsp:val=&quot;005634EC&quot;/&gt;&lt;wsp:rsid wsp:val=&quot;0056693D&quot;/&gt;&lt;wsp:rsid wsp:val=&quot;0056772B&quot;/&gt;&lt;wsp:rsid wsp:val=&quot;00570536&quot;/&gt;&lt;wsp:rsid wsp:val=&quot;00570ACC&quot;/&gt;&lt;wsp:rsid wsp:val=&quot;00571A20&quot;/&gt;&lt;wsp:rsid wsp:val=&quot;00571B80&quot;/&gt;&lt;wsp:rsid wsp:val=&quot;005720F7&quot;/&gt;&lt;wsp:rsid wsp:val=&quot;005754B9&quot;/&gt;&lt;wsp:rsid wsp:val=&quot;005765F4&quot;/&gt;&lt;wsp:rsid wsp:val=&quot;00585BA7&quot;/&gt;&lt;wsp:rsid wsp:val=&quot;00585CC3&quot;/&gt;&lt;wsp:rsid wsp:val=&quot;00586372&quot;/&gt;&lt;wsp:rsid wsp:val=&quot;00587DE1&quot;/&gt;&lt;wsp:rsid wsp:val=&quot;005923D8&quot;/&gt;&lt;wsp:rsid wsp:val=&quot;005936B6&quot;/&gt;&lt;wsp:rsid wsp:val=&quot;0059417F&quot;/&gt;&lt;wsp:rsid wsp:val=&quot;00594CE2&quot;/&gt;&lt;wsp:rsid wsp:val=&quot;00595848&quot;/&gt;&lt;wsp:rsid wsp:val=&quot;00595D38&quot;/&gt;&lt;wsp:rsid wsp:val=&quot;00596A78&quot;/&gt;&lt;wsp:rsid wsp:val=&quot;00596FB7&quot;/&gt;&lt;wsp:rsid wsp:val=&quot;00597DD3&quot;/&gt;&lt;wsp:rsid wsp:val=&quot;005A04E1&quot;/&gt;&lt;wsp:rsid wsp:val=&quot;005A0FD5&quot;/&gt;&lt;wsp:rsid wsp:val=&quot;005A5F20&quot;/&gt;&lt;wsp:rsid wsp:val=&quot;005A7BC8&quot;/&gt;&lt;wsp:rsid wsp:val=&quot;005B1631&quot;/&gt;&lt;wsp:rsid wsp:val=&quot;005B25BC&quot;/&gt;&lt;wsp:rsid wsp:val=&quot;005B36B0&quot;/&gt;&lt;wsp:rsid wsp:val=&quot;005B374C&quot;/&gt;&lt;wsp:rsid wsp:val=&quot;005B38CF&quot;/&gt;&lt;wsp:rsid wsp:val=&quot;005B5BE7&quot;/&gt;&lt;wsp:rsid wsp:val=&quot;005C0919&quot;/&gt;&lt;wsp:rsid wsp:val=&quot;005C38F1&quot;/&gt;&lt;wsp:rsid wsp:val=&quot;005C3943&quot;/&gt;&lt;wsp:rsid wsp:val=&quot;005C57EE&quot;/&gt;&lt;wsp:rsid wsp:val=&quot;005D08B4&quot;/&gt;&lt;wsp:rsid wsp:val=&quot;005D3700&quot;/&gt;&lt;wsp:rsid wsp:val=&quot;005D3E2A&quot;/&gt;&lt;wsp:rsid wsp:val=&quot;005D4467&quot;/&gt;&lt;wsp:rsid wsp:val=&quot;005D5D51&quot;/&gt;&lt;wsp:rsid wsp:val=&quot;005E1E3F&quot;/&gt;&lt;wsp:rsid wsp:val=&quot;005E1F74&quot;/&gt;&lt;wsp:rsid wsp:val=&quot;005E2E22&quot;/&gt;&lt;wsp:rsid wsp:val=&quot;005E4C37&quot;/&gt;&lt;wsp:rsid wsp:val=&quot;005E6EFF&quot;/&gt;&lt;wsp:rsid wsp:val=&quot;005F1309&quot;/&gt;&lt;wsp:rsid wsp:val=&quot;005F1772&quot;/&gt;&lt;wsp:rsid wsp:val=&quot;005F40CE&quot;/&gt;&lt;wsp:rsid wsp:val=&quot;005F5C8C&quot;/&gt;&lt;wsp:rsid wsp:val=&quot;006019AD&quot;/&gt;&lt;wsp:rsid wsp:val=&quot;0060301B&quot;/&gt;&lt;wsp:rsid wsp:val=&quot;0060320B&quot;/&gt;&lt;wsp:rsid wsp:val=&quot;0060359A&quot;/&gt;&lt;wsp:rsid wsp:val=&quot;00603782&quot;/&gt;&lt;wsp:rsid wsp:val=&quot;00605498&quot;/&gt;&lt;wsp:rsid wsp:val=&quot;0061121C&quot;/&gt;&lt;wsp:rsid wsp:val=&quot;00612032&quot;/&gt;&lt;wsp:rsid wsp:val=&quot;006137FE&quot;/&gt;&lt;wsp:rsid wsp:val=&quot;00613ABD&quot;/&gt;&lt;wsp:rsid wsp:val=&quot;0061493C&quot;/&gt;&lt;wsp:rsid wsp:val=&quot;00614A5B&quot;/&gt;&lt;wsp:rsid wsp:val=&quot;00615091&quot;/&gt;&lt;wsp:rsid wsp:val=&quot;00615205&quot;/&gt;&lt;wsp:rsid wsp:val=&quot;00621FF9&quot;/&gt;&lt;wsp:rsid wsp:val=&quot;00623D44&quot;/&gt;&lt;wsp:rsid wsp:val=&quot;00625189&quot;/&gt;&lt;wsp:rsid wsp:val=&quot;00625396&quot;/&gt;&lt;wsp:rsid wsp:val=&quot;00625E37&quot;/&gt;&lt;wsp:rsid wsp:val=&quot;00626513&quot;/&gt;&lt;wsp:rsid wsp:val=&quot;00626E7C&quot;/&gt;&lt;wsp:rsid wsp:val=&quot;006322FD&quot;/&gt;&lt;wsp:rsid wsp:val=&quot;00632C10&quot;/&gt;&lt;wsp:rsid wsp:val=&quot;0063328B&quot;/&gt;&lt;wsp:rsid wsp:val=&quot;00633486&quot;/&gt;&lt;wsp:rsid wsp:val=&quot;006348F7&quot;/&gt;&lt;wsp:rsid wsp:val=&quot;00634DBD&quot;/&gt;&lt;wsp:rsid wsp:val=&quot;00640051&quot;/&gt;&lt;wsp:rsid wsp:val=&quot;0064082A&quot;/&gt;&lt;wsp:rsid wsp:val=&quot;00641072&quot;/&gt;&lt;wsp:rsid wsp:val=&quot;00641EE3&quot;/&gt;&lt;wsp:rsid wsp:val=&quot;00642348&quot;/&gt;&lt;wsp:rsid wsp:val=&quot;00644A37&quot;/&gt;&lt;wsp:rsid wsp:val=&quot;00645CFD&quot;/&gt;&lt;wsp:rsid wsp:val=&quot;00645E6A&quot;/&gt;&lt;wsp:rsid wsp:val=&quot;00651399&quot;/&gt;&lt;wsp:rsid wsp:val=&quot;0065266A&quot;/&gt;&lt;wsp:rsid wsp:val=&quot;0065303B&quot;/&gt;&lt;wsp:rsid wsp:val=&quot;00660B60&quot;/&gt;&lt;wsp:rsid wsp:val=&quot;006656BB&quot;/&gt;&lt;wsp:rsid wsp:val=&quot;00666238&quot;/&gt;&lt;wsp:rsid wsp:val=&quot;006702A0&quot;/&gt;&lt;wsp:rsid wsp:val=&quot;006723D4&quot;/&gt;&lt;wsp:rsid wsp:val=&quot;00673FC7&quot;/&gt;&lt;wsp:rsid wsp:val=&quot;00677347&quot;/&gt;&lt;wsp:rsid wsp:val=&quot;00683F5D&quot;/&gt;&lt;wsp:rsid wsp:val=&quot;00684F21&quot;/&gt;&lt;wsp:rsid wsp:val=&quot;0068763C&quot;/&gt;&lt;wsp:rsid wsp:val=&quot;0069198C&quot;/&gt;&lt;wsp:rsid wsp:val=&quot;00692A93&quot;/&gt;&lt;wsp:rsid wsp:val=&quot;0069331A&quot;/&gt;&lt;wsp:rsid wsp:val=&quot;0069360C&quot;/&gt;&lt;wsp:rsid wsp:val=&quot;0069635A&quot;/&gt;&lt;wsp:rsid wsp:val=&quot;006A296C&quot;/&gt;&lt;wsp:rsid wsp:val=&quot;006A3605&quot;/&gt;&lt;wsp:rsid wsp:val=&quot;006A366B&quot;/&gt;&lt;wsp:rsid wsp:val=&quot;006A45C1&quot;/&gt;&lt;wsp:rsid wsp:val=&quot;006A7258&quot;/&gt;&lt;wsp:rsid wsp:val=&quot;006A72C3&quot;/&gt;&lt;wsp:rsid wsp:val=&quot;006A7666&quot;/&gt;&lt;wsp:rsid wsp:val=&quot;006B2A42&quot;/&gt;&lt;wsp:rsid wsp:val=&quot;006B2FA0&quot;/&gt;&lt;wsp:rsid wsp:val=&quot;006B3BB5&quot;/&gt;&lt;wsp:rsid wsp:val=&quot;006B60B2&quot;/&gt;&lt;wsp:rsid wsp:val=&quot;006B73D7&quot;/&gt;&lt;wsp:rsid wsp:val=&quot;006C024E&quot;/&gt;&lt;wsp:rsid wsp:val=&quot;006C212D&quot;/&gt;&lt;wsp:rsid wsp:val=&quot;006C2835&quot;/&gt;&lt;wsp:rsid wsp:val=&quot;006C49D3&quot;/&gt;&lt;wsp:rsid wsp:val=&quot;006D1A64&quot;/&gt;&lt;wsp:rsid wsp:val=&quot;006D2FBA&quot;/&gt;&lt;wsp:rsid wsp:val=&quot;006D3E0E&quot;/&gt;&lt;wsp:rsid wsp:val=&quot;006D3F2E&quot;/&gt;&lt;wsp:rsid wsp:val=&quot;006D6AB1&quot;/&gt;&lt;wsp:rsid wsp:val=&quot;006D7C34&quot;/&gt;&lt;wsp:rsid wsp:val=&quot;006E45D3&quot;/&gt;&lt;wsp:rsid wsp:val=&quot;006E4A82&quot;/&gt;&lt;wsp:rsid wsp:val=&quot;006F1592&quot;/&gt;&lt;wsp:rsid wsp:val=&quot;006F2684&quot;/&gt;&lt;wsp:rsid wsp:val=&quot;006F4666&quot;/&gt;&lt;wsp:rsid wsp:val=&quot;007003FC&quot;/&gt;&lt;wsp:rsid wsp:val=&quot;007012C8&quot;/&gt;&lt;wsp:rsid wsp:val=&quot;00702F42&quot;/&gt;&lt;wsp:rsid wsp:val=&quot;007040C1&quot;/&gt;&lt;wsp:rsid wsp:val=&quot;00704221&quot;/&gt;&lt;wsp:rsid wsp:val=&quot;00704D87&quot;/&gt;&lt;wsp:rsid wsp:val=&quot;00705161&quot;/&gt;&lt;wsp:rsid wsp:val=&quot;0070729F&quot;/&gt;&lt;wsp:rsid wsp:val=&quot;00711123&quot;/&gt;&lt;wsp:rsid wsp:val=&quot;0071139D&quot;/&gt;&lt;wsp:rsid wsp:val=&quot;00712603&quot;/&gt;&lt;wsp:rsid wsp:val=&quot;007127F2&quot;/&gt;&lt;wsp:rsid wsp:val=&quot;0071304A&quot;/&gt;&lt;wsp:rsid wsp:val=&quot;00716C02&quot;/&gt;&lt;wsp:rsid wsp:val=&quot;00720496&quot;/&gt;&lt;wsp:rsid wsp:val=&quot;00726297&quot;/&gt;&lt;wsp:rsid wsp:val=&quot;00727761&quot;/&gt;&lt;wsp:rsid wsp:val=&quot;007333B3&quot;/&gt;&lt;wsp:rsid wsp:val=&quot;00733E6A&quot;/&gt;&lt;wsp:rsid wsp:val=&quot;00735851&quot;/&gt;&lt;wsp:rsid wsp:val=&quot;00736B0D&quot;/&gt;&lt;wsp:rsid wsp:val=&quot;00737671&quot;/&gt;&lt;wsp:rsid wsp:val=&quot;00737FCC&quot;/&gt;&lt;wsp:rsid wsp:val=&quot;0074053F&quot;/&gt;&lt;wsp:rsid wsp:val=&quot;0074263E&quot;/&gt;&lt;wsp:rsid wsp:val=&quot;007436B8&quot;/&gt;&lt;wsp:rsid wsp:val=&quot;007440CB&quot;/&gt;&lt;wsp:rsid wsp:val=&quot;007472F3&quot;/&gt;&lt;wsp:rsid wsp:val=&quot;00747ABD&quot;/&gt;&lt;wsp:rsid wsp:val=&quot;00751133&quot;/&gt;&lt;wsp:rsid wsp:val=&quot;007558D6&quot;/&gt;&lt;wsp:rsid wsp:val=&quot;00755F06&quot;/&gt;&lt;wsp:rsid wsp:val=&quot;00756874&quot;/&gt;&lt;wsp:rsid wsp:val=&quot;00757025&quot;/&gt;&lt;wsp:rsid wsp:val=&quot;0075736E&quot;/&gt;&lt;wsp:rsid wsp:val=&quot;00757492&quot;/&gt;&lt;wsp:rsid wsp:val=&quot;00757FA9&quot;/&gt;&lt;wsp:rsid wsp:val=&quot;00761109&quot;/&gt;&lt;wsp:rsid wsp:val=&quot;0076297E&quot;/&gt;&lt;wsp:rsid wsp:val=&quot;00763C91&quot;/&gt;&lt;wsp:rsid wsp:val=&quot;007679B0&quot;/&gt;&lt;wsp:rsid wsp:val=&quot;007679BB&quot;/&gt;&lt;wsp:rsid wsp:val=&quot;00771D15&quot;/&gt;&lt;wsp:rsid wsp:val=&quot;00774F27&quot;/&gt;&lt;wsp:rsid wsp:val=&quot;007771B0&quot;/&gt;&lt;wsp:rsid wsp:val=&quot;00777298&quot;/&gt;&lt;wsp:rsid wsp:val=&quot;00777701&quot;/&gt;&lt;wsp:rsid wsp:val=&quot;0078005E&quot;/&gt;&lt;wsp:rsid wsp:val=&quot;00782502&quot;/&gt;&lt;wsp:rsid wsp:val=&quot;007831B0&quot;/&gt;&lt;wsp:rsid wsp:val=&quot;00784592&quot;/&gt;&lt;wsp:rsid wsp:val=&quot;00785BE2&quot;/&gt;&lt;wsp:rsid wsp:val=&quot;00785E7F&quot;/&gt;&lt;wsp:rsid wsp:val=&quot;007860DD&quot;/&gt;&lt;wsp:rsid wsp:val=&quot;007861D4&quot;/&gt;&lt;wsp:rsid wsp:val=&quot;007864FE&quot;/&gt;&lt;wsp:rsid wsp:val=&quot;00787FF4&quot;/&gt;&lt;wsp:rsid wsp:val=&quot;00792320&quot;/&gt;&lt;wsp:rsid wsp:val=&quot;0079392C&quot;/&gt;&lt;wsp:rsid wsp:val=&quot;007944BA&quot;/&gt;&lt;wsp:rsid wsp:val=&quot;007A24A4&quot;/&gt;&lt;wsp:rsid wsp:val=&quot;007A402D&quot;/&gt;&lt;wsp:rsid wsp:val=&quot;007A4359&quot;/&gt;&lt;wsp:rsid wsp:val=&quot;007A45DE&quot;/&gt;&lt;wsp:rsid wsp:val=&quot;007A6225&quot;/&gt;&lt;wsp:rsid wsp:val=&quot;007B03E6&quot;/&gt;&lt;wsp:rsid wsp:val=&quot;007B1EB3&quot;/&gt;&lt;wsp:rsid wsp:val=&quot;007B25A3&quot;/&gt;&lt;wsp:rsid wsp:val=&quot;007B2EA6&quot;/&gt;&lt;wsp:rsid wsp:val=&quot;007B7F47&quot;/&gt;&lt;wsp:rsid wsp:val=&quot;007C193A&quot;/&gt;&lt;wsp:rsid wsp:val=&quot;007C2C4D&quot;/&gt;&lt;wsp:rsid wsp:val=&quot;007C3C20&quot;/&gt;&lt;wsp:rsid wsp:val=&quot;007D1C76&quot;/&gt;&lt;wsp:rsid wsp:val=&quot;007D20DF&quot;/&gt;&lt;wsp:rsid wsp:val=&quot;007D2FD9&quot;/&gt;&lt;wsp:rsid wsp:val=&quot;007D5C0F&quot;/&gt;&lt;wsp:rsid wsp:val=&quot;007E0C8C&quot;/&gt;&lt;wsp:rsid wsp:val=&quot;007E116C&quot;/&gt;&lt;wsp:rsid wsp:val=&quot;007E17D4&quot;/&gt;&lt;wsp:rsid wsp:val=&quot;007E5906&quot;/&gt;&lt;wsp:rsid wsp:val=&quot;007F0650&quot;/&gt;&lt;wsp:rsid wsp:val=&quot;007F2445&quot;/&gt;&lt;wsp:rsid wsp:val=&quot;007F31A8&quot;/&gt;&lt;wsp:rsid wsp:val=&quot;007F5957&quot;/&gt;&lt;wsp:rsid wsp:val=&quot;007F5EBC&quot;/&gt;&lt;wsp:rsid wsp:val=&quot;00800BBE&quot;/&gt;&lt;wsp:rsid wsp:val=&quot;00801E3C&quot;/&gt;&lt;wsp:rsid wsp:val=&quot;00802743&quot;/&gt;&lt;wsp:rsid wsp:val=&quot;00802F38&quot;/&gt;&lt;wsp:rsid wsp:val=&quot;00805204&quot;/&gt;&lt;wsp:rsid wsp:val=&quot;0080712A&quot;/&gt;&lt;wsp:rsid wsp:val=&quot;00807555&quot;/&gt;&lt;wsp:rsid wsp:val=&quot;008120B3&quot;/&gt;&lt;wsp:rsid wsp:val=&quot;00813F2B&quot;/&gt;&lt;wsp:rsid wsp:val=&quot;00814BFD&quot;/&gt;&lt;wsp:rsid wsp:val=&quot;00817B6B&quot;/&gt;&lt;wsp:rsid wsp:val=&quot;00821B99&quot;/&gt;&lt;wsp:rsid wsp:val=&quot;008245FC&quot;/&gt;&lt;wsp:rsid wsp:val=&quot;00826C5E&quot;/&gt;&lt;wsp:rsid wsp:val=&quot;00832C73&quot;/&gt;&lt;wsp:rsid wsp:val=&quot;00832EF8&quot;/&gt;&lt;wsp:rsid wsp:val=&quot;008335CE&quot;/&gt;&lt;wsp:rsid wsp:val=&quot;008354F9&quot;/&gt;&lt;wsp:rsid wsp:val=&quot;00842958&quot;/&gt;&lt;wsp:rsid wsp:val=&quot;0084418F&quot;/&gt;&lt;wsp:rsid wsp:val=&quot;008452F9&quot;/&gt;&lt;wsp:rsid wsp:val=&quot;00845566&quot;/&gt;&lt;wsp:rsid wsp:val=&quot;008456DA&quot;/&gt;&lt;wsp:rsid wsp:val=&quot;00845785&quot;/&gt;&lt;wsp:rsid wsp:val=&quot;008506A0&quot;/&gt;&lt;wsp:rsid wsp:val=&quot;00850D61&quot;/&gt;&lt;wsp:rsid wsp:val=&quot;00852A1D&quot;/&gt;&lt;wsp:rsid wsp:val=&quot;00854556&quot;/&gt;&lt;wsp:rsid wsp:val=&quot;008629E5&quot;/&gt;&lt;wsp:rsid wsp:val=&quot;00864E0E&quot;/&gt;&lt;wsp:rsid wsp:val=&quot;008653F5&quot;/&gt;&lt;wsp:rsid wsp:val=&quot;00865665&quot;/&gt;&lt;wsp:rsid wsp:val=&quot;008679A8&quot;/&gt;&lt;wsp:rsid wsp:val=&quot;00867BD9&quot;/&gt;&lt;wsp:rsid wsp:val=&quot;00867E0C&quot;/&gt;&lt;wsp:rsid wsp:val=&quot;0087187C&quot;/&gt;&lt;wsp:rsid wsp:val=&quot;00872180&quot;/&gt;&lt;wsp:rsid wsp:val=&quot;0087232C&quot;/&gt;&lt;wsp:rsid wsp:val=&quot;0087282C&quot;/&gt;&lt;wsp:rsid wsp:val=&quot;00872BCB&quot;/&gt;&lt;wsp:rsid wsp:val=&quot;00875231&quot;/&gt;&lt;wsp:rsid wsp:val=&quot;00877464&quot;/&gt;&lt;wsp:rsid wsp:val=&quot;0088067A&quot;/&gt;&lt;wsp:rsid wsp:val=&quot;00880EC9&quot;/&gt;&lt;wsp:rsid wsp:val=&quot;008813CE&quot;/&gt;&lt;wsp:rsid wsp:val=&quot;008821C6&quot;/&gt;&lt;wsp:rsid wsp:val=&quot;00884ADD&quot;/&gt;&lt;wsp:rsid wsp:val=&quot;00885B20&quot;/&gt;&lt;wsp:rsid wsp:val=&quot;0088611D&quot;/&gt;&lt;wsp:rsid wsp:val=&quot;00891D1E&quot;/&gt;&lt;wsp:rsid wsp:val=&quot;008923EE&quot;/&gt;&lt;wsp:rsid wsp:val=&quot;008942D6&quot;/&gt;&lt;wsp:rsid wsp:val=&quot;00895AED&quot;/&gt;&lt;wsp:rsid wsp:val=&quot;00895B4D&quot;/&gt;&lt;wsp:rsid wsp:val=&quot;00896910&quot;/&gt;&lt;wsp:rsid wsp:val=&quot;008A04D9&quot;/&gt;&lt;wsp:rsid wsp:val=&quot;008A34F1&quot;/&gt;&lt;wsp:rsid wsp:val=&quot;008A4D26&quot;/&gt;&lt;wsp:rsid wsp:val=&quot;008A4FFD&quot;/&gt;&lt;wsp:rsid wsp:val=&quot;008A5255&quot;/&gt;&lt;wsp:rsid wsp:val=&quot;008A62D0&quot;/&gt;&lt;wsp:rsid wsp:val=&quot;008B1849&quot;/&gt;&lt;wsp:rsid wsp:val=&quot;008B3B62&quot;/&gt;&lt;wsp:rsid wsp:val=&quot;008B4981&quot;/&gt;&lt;wsp:rsid wsp:val=&quot;008B4C86&quot;/&gt;&lt;wsp:rsid wsp:val=&quot;008C0155&quot;/&gt;&lt;wsp:rsid wsp:val=&quot;008C31DA&quot;/&gt;&lt;wsp:rsid wsp:val=&quot;008C3F6A&quot;/&gt;&lt;wsp:rsid wsp:val=&quot;008C594D&quot;/&gt;&lt;wsp:rsid wsp:val=&quot;008C5C85&quot;/&gt;&lt;wsp:rsid wsp:val=&quot;008C655F&quot;/&gt;&lt;wsp:rsid wsp:val=&quot;008C753E&quot;/&gt;&lt;wsp:rsid wsp:val=&quot;008C76E4&quot;/&gt;&lt;wsp:rsid wsp:val=&quot;008D000B&quot;/&gt;&lt;wsp:rsid wsp:val=&quot;008D174C&quot;/&gt;&lt;wsp:rsid wsp:val=&quot;008D31DC&quot;/&gt;&lt;wsp:rsid wsp:val=&quot;008D32AD&quot;/&gt;&lt;wsp:rsid wsp:val=&quot;008D34CA&quot;/&gt;&lt;wsp:rsid wsp:val=&quot;008D4989&quot;/&gt;&lt;wsp:rsid wsp:val=&quot;008D5D86&quot;/&gt;&lt;wsp:rsid wsp:val=&quot;008D7005&quot;/&gt;&lt;wsp:rsid wsp:val=&quot;008D7C21&quot;/&gt;&lt;wsp:rsid wsp:val=&quot;008E15BA&quot;/&gt;&lt;wsp:rsid wsp:val=&quot;008E15D2&quot;/&gt;&lt;wsp:rsid wsp:val=&quot;008E2992&quot;/&gt;&lt;wsp:rsid wsp:val=&quot;008E3830&quot;/&gt;&lt;wsp:rsid wsp:val=&quot;008E5BA3&quot;/&gt;&lt;wsp:rsid wsp:val=&quot;008E6753&quot;/&gt;&lt;wsp:rsid wsp:val=&quot;008E79A3&quot;/&gt;&lt;wsp:rsid wsp:val=&quot;008F04BE&quot;/&gt;&lt;wsp:rsid wsp:val=&quot;008F087B&quot;/&gt;&lt;wsp:rsid wsp:val=&quot;008F621B&quot;/&gt;&lt;wsp:rsid wsp:val=&quot;008F6A4C&quot;/&gt;&lt;wsp:rsid wsp:val=&quot;008F7720&quot;/&gt;&lt;wsp:rsid wsp:val=&quot;008F7C25&quot;/&gt;&lt;wsp:rsid wsp:val=&quot;00901193&quot;/&gt;&lt;wsp:rsid wsp:val=&quot;0090119C&quot;/&gt;&lt;wsp:rsid wsp:val=&quot;0090338F&quot;/&gt;&lt;wsp:rsid wsp:val=&quot;00907329&quot;/&gt;&lt;wsp:rsid wsp:val=&quot;00911031&quot;/&gt;&lt;wsp:rsid wsp:val=&quot;009117D5&quot;/&gt;&lt;wsp:rsid wsp:val=&quot;00911CE9&quot;/&gt;&lt;wsp:rsid wsp:val=&quot;009121B0&quot;/&gt;&lt;wsp:rsid wsp:val=&quot;0091240F&quot;/&gt;&lt;wsp:rsid wsp:val=&quot;0091254E&quot;/&gt;&lt;wsp:rsid wsp:val=&quot;009136CB&quot;/&gt;&lt;wsp:rsid wsp:val=&quot;009170A8&quot;/&gt;&lt;wsp:rsid wsp:val=&quot;00917CEB&quot;/&gt;&lt;wsp:rsid wsp:val=&quot;009219A7&quot;/&gt;&lt;wsp:rsid wsp:val=&quot;00922010&quot;/&gt;&lt;wsp:rsid wsp:val=&quot;00924E2C&quot;/&gt;&lt;wsp:rsid wsp:val=&quot;00925790&quot;/&gt;&lt;wsp:rsid wsp:val=&quot;00930024&quot;/&gt;&lt;wsp:rsid wsp:val=&quot;00931DD4&quot;/&gt;&lt;wsp:rsid wsp:val=&quot;00933A01&quot;/&gt;&lt;wsp:rsid wsp:val=&quot;0093445B&quot;/&gt;&lt;wsp:rsid wsp:val=&quot;009347F2&quot;/&gt;&lt;wsp:rsid wsp:val=&quot;009401DF&quot;/&gt;&lt;wsp:rsid wsp:val=&quot;009427DA&quot;/&gt;&lt;wsp:rsid wsp:val=&quot;00943BDE&quot;/&gt;&lt;wsp:rsid wsp:val=&quot;00943E03&quot;/&gt;&lt;wsp:rsid wsp:val=&quot;00944030&quot;/&gt;&lt;wsp:rsid wsp:val=&quot;009466C3&quot;/&gt;&lt;wsp:rsid wsp:val=&quot;00947247&quot;/&gt;&lt;wsp:rsid wsp:val=&quot;009478AF&quot;/&gt;&lt;wsp:rsid wsp:val=&quot;0095228D&quot;/&gt;&lt;wsp:rsid wsp:val=&quot;00953752&quot;/&gt;&lt;wsp:rsid wsp:val=&quot;00953883&quot;/&gt;&lt;wsp:rsid wsp:val=&quot;00960772&quot;/&gt;&lt;wsp:rsid wsp:val=&quot;009624A5&quot;/&gt;&lt;wsp:rsid wsp:val=&quot;0096265B&quot;/&gt;&lt;wsp:rsid wsp:val=&quot;00964EF6&quot;/&gt;&lt;wsp:rsid wsp:val=&quot;009657DE&quot;/&gt;&lt;wsp:rsid wsp:val=&quot;00967147&quot;/&gt;&lt;wsp:rsid wsp:val=&quot;00967305&quot;/&gt;&lt;wsp:rsid wsp:val=&quot;009679D4&quot;/&gt;&lt;wsp:rsid wsp:val=&quot;00973FA2&quot;/&gt;&lt;wsp:rsid wsp:val=&quot;00974FA5&quot;/&gt;&lt;wsp:rsid wsp:val=&quot;009767E8&quot;/&gt;&lt;wsp:rsid wsp:val=&quot;00977903&quot;/&gt;&lt;wsp:rsid wsp:val=&quot;009804CA&quot;/&gt;&lt;wsp:rsid wsp:val=&quot;00981D9F&quot;/&gt;&lt;wsp:rsid wsp:val=&quot;00985935&quot;/&gt;&lt;wsp:rsid wsp:val=&quot;00990CB6&quot;/&gt;&lt;wsp:rsid wsp:val=&quot;0099151A&quot;/&gt;&lt;wsp:rsid wsp:val=&quot;0099154C&quot;/&gt;&lt;wsp:rsid wsp:val=&quot;00991708&quot;/&gt;&lt;wsp:rsid wsp:val=&quot;0099303B&quot;/&gt;&lt;wsp:rsid wsp:val=&quot;00995CB2&quot;/&gt;&lt;wsp:rsid wsp:val=&quot;009A02D8&quot;/&gt;&lt;wsp:rsid wsp:val=&quot;009A2D97&quot;/&gt;&lt;wsp:rsid wsp:val=&quot;009A5A09&quot;/&gt;&lt;wsp:rsid wsp:val=&quot;009A6F45&quot;/&gt;&lt;wsp:rsid wsp:val=&quot;009A7728&quot;/&gt;&lt;wsp:rsid wsp:val=&quot;009A78B9&quot;/&gt;&lt;wsp:rsid wsp:val=&quot;009B1D77&quot;/&gt;&lt;wsp:rsid wsp:val=&quot;009B2F3E&quot;/&gt;&lt;wsp:rsid wsp:val=&quot;009B64D0&quot;/&gt;&lt;wsp:rsid wsp:val=&quot;009B6FD1&quot;/&gt;&lt;wsp:rsid wsp:val=&quot;009B7C11&quot;/&gt;&lt;wsp:rsid wsp:val=&quot;009C04BF&quot;/&gt;&lt;wsp:rsid wsp:val=&quot;009C25C6&quot;/&gt;&lt;wsp:rsid wsp:val=&quot;009C2CD7&quot;/&gt;&lt;wsp:rsid wsp:val=&quot;009C2E3B&quot;/&gt;&lt;wsp:rsid wsp:val=&quot;009D0A7F&quot;/&gt;&lt;wsp:rsid wsp:val=&quot;009D0FA3&quot;/&gt;&lt;wsp:rsid wsp:val=&quot;009D11EC&quot;/&gt;&lt;wsp:rsid wsp:val=&quot;009D25E3&quot;/&gt;&lt;wsp:rsid wsp:val=&quot;009D34E2&quot;/&gt;&lt;wsp:rsid wsp:val=&quot;009D678D&quot;/&gt;&lt;wsp:rsid wsp:val=&quot;009D76BD&quot;/&gt;&lt;wsp:rsid wsp:val=&quot;009E111F&quot;/&gt;&lt;wsp:rsid wsp:val=&quot;009E2F39&quot;/&gt;&lt;wsp:rsid wsp:val=&quot;009E4A2A&quot;/&gt;&lt;wsp:rsid wsp:val=&quot;009E7156&quot;/&gt;&lt;wsp:rsid wsp:val=&quot;009F3826&quot;/&gt;&lt;wsp:rsid wsp:val=&quot;009F5539&quot;/&gt;&lt;wsp:rsid wsp:val=&quot;009F69FB&quot;/&gt;&lt;wsp:rsid wsp:val=&quot;009F7952&quot;/&gt;&lt;wsp:rsid wsp:val=&quot;00A00B14&quot;/&gt;&lt;wsp:rsid wsp:val=&quot;00A02D48&quot;/&gt;&lt;wsp:rsid wsp:val=&quot;00A04B79&quot;/&gt;&lt;wsp:rsid wsp:val=&quot;00A053FA&quot;/&gt;&lt;wsp:rsid wsp:val=&quot;00A1200A&quot;/&gt;&lt;wsp:rsid wsp:val=&quot;00A120D8&quot;/&gt;&lt;wsp:rsid wsp:val=&quot;00A13ACA&quot;/&gt;&lt;wsp:rsid wsp:val=&quot;00A13BD5&quot;/&gt;&lt;wsp:rsid wsp:val=&quot;00A14B3F&quot;/&gt;&lt;wsp:rsid wsp:val=&quot;00A16B00&quot;/&gt;&lt;wsp:rsid wsp:val=&quot;00A16B41&quot;/&gt;&lt;wsp:rsid wsp:val=&quot;00A17526&quot;/&gt;&lt;wsp:rsid wsp:val=&quot;00A21062&quot;/&gt;&lt;wsp:rsid wsp:val=&quot;00A305C5&quot;/&gt;&lt;wsp:rsid wsp:val=&quot;00A308CB&quot;/&gt;&lt;wsp:rsid wsp:val=&quot;00A31351&quot;/&gt;&lt;wsp:rsid wsp:val=&quot;00A3213D&quot;/&gt;&lt;wsp:rsid wsp:val=&quot;00A3258C&quot;/&gt;&lt;wsp:rsid wsp:val=&quot;00A32B98&quot;/&gt;&lt;wsp:rsid wsp:val=&quot;00A357FF&quot;/&gt;&lt;wsp:rsid wsp:val=&quot;00A40BE6&quot;/&gt;&lt;wsp:rsid wsp:val=&quot;00A4187E&quot;/&gt;&lt;wsp:rsid wsp:val=&quot;00A43A40&quot;/&gt;&lt;wsp:rsid wsp:val=&quot;00A453E9&quot;/&gt;&lt;wsp:rsid wsp:val=&quot;00A46611&quot;/&gt;&lt;wsp:rsid wsp:val=&quot;00A46FA4&quot;/&gt;&lt;wsp:rsid wsp:val=&quot;00A54C47&quot;/&gt;&lt;wsp:rsid wsp:val=&quot;00A5661E&quot;/&gt;&lt;wsp:rsid wsp:val=&quot;00A6166F&quot;/&gt;&lt;wsp:rsid wsp:val=&quot;00A667E2&quot;/&gt;&lt;wsp:rsid wsp:val=&quot;00A67AF1&quot;/&gt;&lt;wsp:rsid wsp:val=&quot;00A71D04&quot;/&gt;&lt;wsp:rsid wsp:val=&quot;00A733C7&quot;/&gt;&lt;wsp:rsid wsp:val=&quot;00A750A4&quot;/&gt;&lt;wsp:rsid wsp:val=&quot;00A751B8&quot;/&gt;&lt;wsp:rsid wsp:val=&quot;00A80D3B&quot;/&gt;&lt;wsp:rsid wsp:val=&quot;00A83034&quot;/&gt;&lt;wsp:rsid wsp:val=&quot;00A84BED&quot;/&gt;&lt;wsp:rsid wsp:val=&quot;00A851E8&quot;/&gt;&lt;wsp:rsid wsp:val=&quot;00A877C7&quot;/&gt;&lt;wsp:rsid wsp:val=&quot;00A87CEE&quot;/&gt;&lt;wsp:rsid wsp:val=&quot;00A9013F&quot;/&gt;&lt;wsp:rsid wsp:val=&quot;00A934ED&quot;/&gt;&lt;wsp:rsid wsp:val=&quot;00A95126&quot;/&gt;&lt;wsp:rsid wsp:val=&quot;00A9783A&quot;/&gt;&lt;wsp:rsid wsp:val=&quot;00A97DC5&quot;/&gt;&lt;wsp:rsid wsp:val=&quot;00AA0CF9&quot;/&gt;&lt;wsp:rsid wsp:val=&quot;00AA1F42&quot;/&gt;&lt;wsp:rsid wsp:val=&quot;00AA341E&quot;/&gt;&lt;wsp:rsid wsp:val=&quot;00AA379D&quot;/&gt;&lt;wsp:rsid wsp:val=&quot;00AA447D&quot;/&gt;&lt;wsp:rsid wsp:val=&quot;00AA45E8&quot;/&gt;&lt;wsp:rsid wsp:val=&quot;00AA4CE7&quot;/&gt;&lt;wsp:rsid wsp:val=&quot;00AA5C7C&quot;/&gt;&lt;wsp:rsid wsp:val=&quot;00AA6368&quot;/&gt;&lt;wsp:rsid wsp:val=&quot;00AB1B52&quot;/&gt;&lt;wsp:rsid wsp:val=&quot;00AB1C4B&quot;/&gt;&lt;wsp:rsid wsp:val=&quot;00AB3B21&quot;/&gt;&lt;wsp:rsid wsp:val=&quot;00AB5C38&quot;/&gt;&lt;wsp:rsid wsp:val=&quot;00AC113A&quot;/&gt;&lt;wsp:rsid wsp:val=&quot;00AC278D&quot;/&gt;&lt;wsp:rsid wsp:val=&quot;00AC2FA8&quot;/&gt;&lt;wsp:rsid wsp:val=&quot;00AC7AC9&quot;/&gt;&lt;wsp:rsid wsp:val=&quot;00AD0455&quot;/&gt;&lt;wsp:rsid wsp:val=&quot;00AD2F16&quot;/&gt;&lt;wsp:rsid wsp:val=&quot;00AD3460&quot;/&gt;&lt;wsp:rsid wsp:val=&quot;00AD4633&quot;/&gt;&lt;wsp:rsid wsp:val=&quot;00AD5020&quot;/&gt;&lt;wsp:rsid wsp:val=&quot;00AD7C0A&quot;/&gt;&lt;wsp:rsid wsp:val=&quot;00AE1E80&quot;/&gt;&lt;wsp:rsid wsp:val=&quot;00AE4C09&quot;/&gt;&lt;wsp:rsid wsp:val=&quot;00AE554F&quot;/&gt;&lt;wsp:rsid wsp:val=&quot;00AE7351&quot;/&gt;&lt;wsp:rsid wsp:val=&quot;00AF04EB&quot;/&gt;&lt;wsp:rsid wsp:val=&quot;00AF1518&quot;/&gt;&lt;wsp:rsid wsp:val=&quot;00AF6366&quot;/&gt;&lt;wsp:rsid wsp:val=&quot;00AF676F&quot;/&gt;&lt;wsp:rsid wsp:val=&quot;00AF6EBE&quot;/&gt;&lt;wsp:rsid wsp:val=&quot;00AF7A3C&quot;/&gt;&lt;wsp:rsid wsp:val=&quot;00B02211&quot;/&gt;&lt;wsp:rsid wsp:val=&quot;00B05456&quot;/&gt;&lt;wsp:rsid wsp:val=&quot;00B057B7&quot;/&gt;&lt;wsp:rsid wsp:val=&quot;00B0638E&quot;/&gt;&lt;wsp:rsid wsp:val=&quot;00B0750F&quot;/&gt;&lt;wsp:rsid wsp:val=&quot;00B10EDF&quot;/&gt;&lt;wsp:rsid wsp:val=&quot;00B112C6&quot;/&gt;&lt;wsp:rsid wsp:val=&quot;00B130F5&quot;/&gt;&lt;wsp:rsid wsp:val=&quot;00B20627&quot;/&gt;&lt;wsp:rsid wsp:val=&quot;00B2355C&quot;/&gt;&lt;wsp:rsid wsp:val=&quot;00B23921&quot;/&gt;&lt;wsp:rsid wsp:val=&quot;00B259C1&quot;/&gt;&lt;wsp:rsid wsp:val=&quot;00B26221&quot;/&gt;&lt;wsp:rsid wsp:val=&quot;00B27038&quot;/&gt;&lt;wsp:rsid wsp:val=&quot;00B328F4&quot;/&gt;&lt;wsp:rsid wsp:val=&quot;00B34216&quot;/&gt;&lt;wsp:rsid wsp:val=&quot;00B34F32&quot;/&gt;&lt;wsp:rsid wsp:val=&quot;00B35E12&quot;/&gt;&lt;wsp:rsid wsp:val=&quot;00B36CB5&quot;/&gt;&lt;wsp:rsid wsp:val=&quot;00B375C1&quot;/&gt;&lt;wsp:rsid wsp:val=&quot;00B40D93&quot;/&gt;&lt;wsp:rsid wsp:val=&quot;00B4116B&quot;/&gt;&lt;wsp:rsid wsp:val=&quot;00B426C1&quot;/&gt;&lt;wsp:rsid wsp:val=&quot;00B470FF&quot;/&gt;&lt;wsp:rsid wsp:val=&quot;00B474DC&quot;/&gt;&lt;wsp:rsid wsp:val=&quot;00B47A9F&quot;/&gt;&lt;wsp:rsid wsp:val=&quot;00B51372&quot;/&gt;&lt;wsp:rsid wsp:val=&quot;00B601DC&quot;/&gt;&lt;wsp:rsid wsp:val=&quot;00B60840&quot;/&gt;&lt;wsp:rsid wsp:val=&quot;00B62C64&quot;/&gt;&lt;wsp:rsid wsp:val=&quot;00B631FD&quot;/&gt;&lt;wsp:rsid wsp:val=&quot;00B639F2&quot;/&gt;&lt;wsp:rsid wsp:val=&quot;00B640E8&quot;/&gt;&lt;wsp:rsid wsp:val=&quot;00B75DE1&quot;/&gt;&lt;wsp:rsid wsp:val=&quot;00B80F17&quot;/&gt;&lt;wsp:rsid wsp:val=&quot;00B841E5&quot;/&gt;&lt;wsp:rsid wsp:val=&quot;00B846B1&quot;/&gt;&lt;wsp:rsid wsp:val=&quot;00B85B37&quot;/&gt;&lt;wsp:rsid wsp:val=&quot;00B86C7A&quot;/&gt;&lt;wsp:rsid wsp:val=&quot;00B90148&quot;/&gt;&lt;wsp:rsid wsp:val=&quot;00B906C7&quot;/&gt;&lt;wsp:rsid wsp:val=&quot;00B90C33&quot;/&gt;&lt;wsp:rsid wsp:val=&quot;00B93DA4&quot;/&gt;&lt;wsp:rsid wsp:val=&quot;00B95B69&quot;/&gt;&lt;wsp:rsid wsp:val=&quot;00B97AAA&quot;/&gt;&lt;wsp:rsid wsp:val=&quot;00BA3197&quot;/&gt;&lt;wsp:rsid wsp:val=&quot;00BA74B0&quot;/&gt;&lt;wsp:rsid wsp:val=&quot;00BB33D4&quot;/&gt;&lt;wsp:rsid wsp:val=&quot;00BC0B79&quot;/&gt;&lt;wsp:rsid wsp:val=&quot;00BC1252&quot;/&gt;&lt;wsp:rsid wsp:val=&quot;00BC172D&quot;/&gt;&lt;wsp:rsid wsp:val=&quot;00BC2363&quot;/&gt;&lt;wsp:rsid wsp:val=&quot;00BC2E79&quot;/&gt;&lt;wsp:rsid wsp:val=&quot;00BC3D43&quot;/&gt;&lt;wsp:rsid wsp:val=&quot;00BC44F5&quot;/&gt;&lt;wsp:rsid wsp:val=&quot;00BC45EE&quot;/&gt;&lt;wsp:rsid wsp:val=&quot;00BC5C9A&quot;/&gt;&lt;wsp:rsid wsp:val=&quot;00BC5D8B&quot;/&gt;&lt;wsp:rsid wsp:val=&quot;00BC75B5&quot;/&gt;&lt;wsp:rsid wsp:val=&quot;00BD0700&quot;/&gt;&lt;wsp:rsid wsp:val=&quot;00BD15B5&quot;/&gt;&lt;wsp:rsid wsp:val=&quot;00BD204E&quot;/&gt;&lt;wsp:rsid wsp:val=&quot;00BD4762&quot;/&gt;&lt;wsp:rsid wsp:val=&quot;00BD5E6D&quot;/&gt;&lt;wsp:rsid wsp:val=&quot;00BD6682&quot;/&gt;&lt;wsp:rsid wsp:val=&quot;00BE096F&quot;/&gt;&lt;wsp:rsid wsp:val=&quot;00BE13CC&quot;/&gt;&lt;wsp:rsid wsp:val=&quot;00BF044D&quot;/&gt;&lt;wsp:rsid wsp:val=&quot;00BF0B3D&quot;/&gt;&lt;wsp:rsid wsp:val=&quot;00BF1F78&quot;/&gt;&lt;wsp:rsid wsp:val=&quot;00BF568E&quot;/&gt;&lt;wsp:rsid wsp:val=&quot;00BF6CE0&quot;/&gt;&lt;wsp:rsid wsp:val=&quot;00C015D7&quot;/&gt;&lt;wsp:rsid wsp:val=&quot;00C02805&quot;/&gt;&lt;wsp:rsid wsp:val=&quot;00C05269&quot;/&gt;&lt;wsp:rsid wsp:val=&quot;00C07F62&quot;/&gt;&lt;wsp:rsid wsp:val=&quot;00C105B2&quot;/&gt;&lt;wsp:rsid wsp:val=&quot;00C10736&quot;/&gt;&lt;wsp:rsid wsp:val=&quot;00C12827&quot;/&gt;&lt;wsp:rsid wsp:val=&quot;00C14EBF&quot;/&gt;&lt;wsp:rsid wsp:val=&quot;00C16B72&quot;/&gt;&lt;wsp:rsid wsp:val=&quot;00C20304&quot;/&gt;&lt;wsp:rsid wsp:val=&quot;00C21B8A&quot;/&gt;&lt;wsp:rsid wsp:val=&quot;00C23E49&quot;/&gt;&lt;wsp:rsid wsp:val=&quot;00C23E58&quot;/&gt;&lt;wsp:rsid wsp:val=&quot;00C264AD&quot;/&gt;&lt;wsp:rsid wsp:val=&quot;00C2739B&quot;/&gt;&lt;wsp:rsid wsp:val=&quot;00C30D1C&quot;/&gt;&lt;wsp:rsid wsp:val=&quot;00C312B8&quot;/&gt;&lt;wsp:rsid wsp:val=&quot;00C313E3&quot;/&gt;&lt;wsp:rsid wsp:val=&quot;00C32CB5&quot;/&gt;&lt;wsp:rsid wsp:val=&quot;00C36F2F&quot;/&gt;&lt;wsp:rsid wsp:val=&quot;00C37194&quot;/&gt;&lt;wsp:rsid wsp:val=&quot;00C376A0&quot;/&gt;&lt;wsp:rsid wsp:val=&quot;00C4016D&quot;/&gt;&lt;wsp:rsid wsp:val=&quot;00C418B6&quot;/&gt;&lt;wsp:rsid wsp:val=&quot;00C43382&quot;/&gt;&lt;wsp:rsid wsp:val=&quot;00C441BC&quot;/&gt;&lt;wsp:rsid wsp:val=&quot;00C447E1&quot;/&gt;&lt;wsp:rsid wsp:val=&quot;00C456E6&quot;/&gt;&lt;wsp:rsid wsp:val=&quot;00C45BC6&quot;/&gt;&lt;wsp:rsid wsp:val=&quot;00C462AA&quot;/&gt;&lt;wsp:rsid wsp:val=&quot;00C4769F&quot;/&gt;&lt;wsp:rsid wsp:val=&quot;00C51723&quot;/&gt;&lt;wsp:rsid wsp:val=&quot;00C5177D&quot;/&gt;&lt;wsp:rsid wsp:val=&quot;00C52A06&quot;/&gt;&lt;wsp:rsid wsp:val=&quot;00C54454&quot;/&gt;&lt;wsp:rsid wsp:val=&quot;00C549CE&quot;/&gt;&lt;wsp:rsid wsp:val=&quot;00C54F31&quot;/&gt;&lt;wsp:rsid wsp:val=&quot;00C569CC&quot;/&gt;&lt;wsp:rsid wsp:val=&quot;00C56FAC&quot;/&gt;&lt;wsp:rsid wsp:val=&quot;00C603D9&quot;/&gt;&lt;wsp:rsid wsp:val=&quot;00C61E6B&quot;/&gt;&lt;wsp:rsid wsp:val=&quot;00C62C2F&quot;/&gt;&lt;wsp:rsid wsp:val=&quot;00C6529A&quot;/&gt;&lt;wsp:rsid wsp:val=&quot;00C666A1&quot;/&gt;&lt;wsp:rsid wsp:val=&quot;00C707D9&quot;/&gt;&lt;wsp:rsid wsp:val=&quot;00C72E52&quot;/&gt;&lt;wsp:rsid wsp:val=&quot;00C73A93&quot;/&gt;&lt;wsp:rsid wsp:val=&quot;00C74046&quot;/&gt;&lt;wsp:rsid wsp:val=&quot;00C75175&quot;/&gt;&lt;wsp:rsid wsp:val=&quot;00C758A0&quot;/&gt;&lt;wsp:rsid wsp:val=&quot;00C765A2&quot;/&gt;&lt;wsp:rsid wsp:val=&quot;00C83ACC&quot;/&gt;&lt;wsp:rsid wsp:val=&quot;00C846A3&quot;/&gt;&lt;wsp:rsid wsp:val=&quot;00C86B16&quot;/&gt;&lt;wsp:rsid wsp:val=&quot;00C878E9&quot;/&gt;&lt;wsp:rsid wsp:val=&quot;00C90F3C&quot;/&gt;&lt;wsp:rsid wsp:val=&quot;00C933EC&quot;/&gt;&lt;wsp:rsid wsp:val=&quot;00C9432E&quot;/&gt;&lt;wsp:rsid wsp:val=&quot;00CA0F4B&quot;/&gt;&lt;wsp:rsid wsp:val=&quot;00CA101A&quot;/&gt;&lt;wsp:rsid wsp:val=&quot;00CA10BA&quot;/&gt;&lt;wsp:rsid wsp:val=&quot;00CA3337&quot;/&gt;&lt;wsp:rsid wsp:val=&quot;00CA3C7D&quot;/&gt;&lt;wsp:rsid wsp:val=&quot;00CA3DCA&quot;/&gt;&lt;wsp:rsid wsp:val=&quot;00CA4A7A&quot;/&gt;&lt;wsp:rsid wsp:val=&quot;00CA554B&quot;/&gt;&lt;wsp:rsid wsp:val=&quot;00CA5629&quot;/&gt;&lt;wsp:rsid wsp:val=&quot;00CA6878&quot;/&gt;&lt;wsp:rsid wsp:val=&quot;00CB06C4&quot;/&gt;&lt;wsp:rsid wsp:val=&quot;00CB2939&quot;/&gt;&lt;wsp:rsid wsp:val=&quot;00CB4D56&quot;/&gt;&lt;wsp:rsid wsp:val=&quot;00CB5224&quot;/&gt;&lt;wsp:rsid wsp:val=&quot;00CC4281&quot;/&gt;&lt;wsp:rsid wsp:val=&quot;00CC472C&quot;/&gt;&lt;wsp:rsid wsp:val=&quot;00CC4FB3&quot;/&gt;&lt;wsp:rsid wsp:val=&quot;00CC5365&quot;/&gt;&lt;wsp:rsid wsp:val=&quot;00CC58B9&quot;/&gt;&lt;wsp:rsid wsp:val=&quot;00CC5DE2&quot;/&gt;&lt;wsp:rsid wsp:val=&quot;00CD1153&quot;/&gt;&lt;wsp:rsid wsp:val=&quot;00CD1D60&quot;/&gt;&lt;wsp:rsid wsp:val=&quot;00CD2363&quot;/&gt;&lt;wsp:rsid wsp:val=&quot;00CD302B&quot;/&gt;&lt;wsp:rsid wsp:val=&quot;00CD36B1&quot;/&gt;&lt;wsp:rsid wsp:val=&quot;00CD5480&quot;/&gt;&lt;wsp:rsid wsp:val=&quot;00CD55CF&quot;/&gt;&lt;wsp:rsid wsp:val=&quot;00CD660F&quot;/&gt;&lt;wsp:rsid wsp:val=&quot;00CE35EA&quot;/&gt;&lt;wsp:rsid wsp:val=&quot;00CE4A18&quot;/&gt;&lt;wsp:rsid wsp:val=&quot;00CF1736&quot;/&gt;&lt;wsp:rsid wsp:val=&quot;00CF2307&quot;/&gt;&lt;wsp:rsid wsp:val=&quot;00CF37F6&quot;/&gt;&lt;wsp:rsid wsp:val=&quot;00CF6A0B&quot;/&gt;&lt;wsp:rsid wsp:val=&quot;00CF6CE3&quot;/&gt;&lt;wsp:rsid wsp:val=&quot;00D0138D&quot;/&gt;&lt;wsp:rsid wsp:val=&quot;00D02D0D&quot;/&gt;&lt;wsp:rsid wsp:val=&quot;00D033F5&quot;/&gt;&lt;wsp:rsid wsp:val=&quot;00D05181&quot;/&gt;&lt;wsp:rsid wsp:val=&quot;00D07950&quot;/&gt;&lt;wsp:rsid wsp:val=&quot;00D10D9C&quot;/&gt;&lt;wsp:rsid wsp:val=&quot;00D1164E&quot;/&gt;&lt;wsp:rsid wsp:val=&quot;00D1420E&quot;/&gt;&lt;wsp:rsid wsp:val=&quot;00D15FAF&quot;/&gt;&lt;wsp:rsid wsp:val=&quot;00D16508&quot;/&gt;&lt;wsp:rsid wsp:val=&quot;00D26D98&quot;/&gt;&lt;wsp:rsid wsp:val=&quot;00D301C7&quot;/&gt;&lt;wsp:rsid wsp:val=&quot;00D301CA&quot;/&gt;&lt;wsp:rsid wsp:val=&quot;00D31F05&quot;/&gt;&lt;wsp:rsid wsp:val=&quot;00D3251A&quot;/&gt;&lt;wsp:rsid wsp:val=&quot;00D327B2&quot;/&gt;&lt;wsp:rsid wsp:val=&quot;00D344BC&quot;/&gt;&lt;wsp:rsid wsp:val=&quot;00D406EC&quot;/&gt;&lt;wsp:rsid wsp:val=&quot;00D414C7&quot;/&gt;&lt;wsp:rsid wsp:val=&quot;00D43CBF&quot;/&gt;&lt;wsp:rsid wsp:val=&quot;00D44504&quot;/&gt;&lt;wsp:rsid wsp:val=&quot;00D44B24&quot;/&gt;&lt;wsp:rsid wsp:val=&quot;00D44DF7&quot;/&gt;&lt;wsp:rsid wsp:val=&quot;00D44F08&quot;/&gt;&lt;wsp:rsid wsp:val=&quot;00D45AF0&quot;/&gt;&lt;wsp:rsid wsp:val=&quot;00D51AC1&quot;/&gt;&lt;wsp:rsid wsp:val=&quot;00D54362&quot;/&gt;&lt;wsp:rsid wsp:val=&quot;00D570D2&quot;/&gt;&lt;wsp:rsid wsp:val=&quot;00D5711F&quot;/&gt;&lt;wsp:rsid wsp:val=&quot;00D60B06&quot;/&gt;&lt;wsp:rsid wsp:val=&quot;00D612C5&quot;/&gt;&lt;wsp:rsid wsp:val=&quot;00D63CE8&quot;/&gt;&lt;wsp:rsid wsp:val=&quot;00D63F48&quot;/&gt;&lt;wsp:rsid wsp:val=&quot;00D66373&quot;/&gt;&lt;wsp:rsid wsp:val=&quot;00D6781B&quot;/&gt;&lt;wsp:rsid wsp:val=&quot;00D71BBC&quot;/&gt;&lt;wsp:rsid wsp:val=&quot;00D727A9&quot;/&gt;&lt;wsp:rsid wsp:val=&quot;00D739E2&quot;/&gt;&lt;wsp:rsid wsp:val=&quot;00D7422E&quot;/&gt;&lt;wsp:rsid wsp:val=&quot;00D745FC&quot;/&gt;&lt;wsp:rsid wsp:val=&quot;00D82F8E&quot;/&gt;&lt;wsp:rsid wsp:val=&quot;00D84EFB&quot;/&gt;&lt;wsp:rsid wsp:val=&quot;00D8572F&quot;/&gt;&lt;wsp:rsid wsp:val=&quot;00D85F1E&quot;/&gt;&lt;wsp:rsid wsp:val=&quot;00D861F9&quot;/&gt;&lt;wsp:rsid wsp:val=&quot;00D863C3&quot;/&gt;&lt;wsp:rsid wsp:val=&quot;00D86A3B&quot;/&gt;&lt;wsp:rsid wsp:val=&quot;00D878C7&quot;/&gt;&lt;wsp:rsid wsp:val=&quot;00D904AD&quot;/&gt;&lt;wsp:rsid wsp:val=&quot;00D90EED&quot;/&gt;&lt;wsp:rsid wsp:val=&quot;00D978A0&quot;/&gt;&lt;wsp:rsid wsp:val=&quot;00D97D4D&quot;/&gt;&lt;wsp:rsid wsp:val=&quot;00DA36F8&quot;/&gt;&lt;wsp:rsid wsp:val=&quot;00DA3FD3&quot;/&gt;&lt;wsp:rsid wsp:val=&quot;00DA4691&quot;/&gt;&lt;wsp:rsid wsp:val=&quot;00DA4A9C&quot;/&gt;&lt;wsp:rsid wsp:val=&quot;00DB088A&quot;/&gt;&lt;wsp:rsid wsp:val=&quot;00DB156D&quot;/&gt;&lt;wsp:rsid wsp:val=&quot;00DB1F65&quot;/&gt;&lt;wsp:rsid wsp:val=&quot;00DB36B9&quot;/&gt;&lt;wsp:rsid wsp:val=&quot;00DB5B7F&quot;/&gt;&lt;wsp:rsid wsp:val=&quot;00DB785D&quot;/&gt;&lt;wsp:rsid wsp:val=&quot;00DB7E00&quot;/&gt;&lt;wsp:rsid wsp:val=&quot;00DC3FEE&quot;/&gt;&lt;wsp:rsid wsp:val=&quot;00DC4EF2&quot;/&gt;&lt;wsp:rsid wsp:val=&quot;00DC4FAB&quot;/&gt;&lt;wsp:rsid wsp:val=&quot;00DC7C0E&quot;/&gt;&lt;wsp:rsid wsp:val=&quot;00DD110B&quot;/&gt;&lt;wsp:rsid wsp:val=&quot;00DD189E&quot;/&gt;&lt;wsp:rsid wsp:val=&quot;00DD2CD7&quot;/&gt;&lt;wsp:rsid wsp:val=&quot;00DD4417&quot;/&gt;&lt;wsp:rsid wsp:val=&quot;00DD5063&quot;/&gt;&lt;wsp:rsid wsp:val=&quot;00DD588F&quot;/&gt;&lt;wsp:rsid wsp:val=&quot;00DD7B0B&quot;/&gt;&lt;wsp:rsid wsp:val=&quot;00DE0182&quot;/&gt;&lt;wsp:rsid wsp:val=&quot;00DE0305&quot;/&gt;&lt;wsp:rsid wsp:val=&quot;00DE0B19&quot;/&gt;&lt;wsp:rsid wsp:val=&quot;00DE3AF4&quot;/&gt;&lt;wsp:rsid wsp:val=&quot;00DE3BA1&quot;/&gt;&lt;wsp:rsid wsp:val=&quot;00DE4CBA&quot;/&gt;&lt;wsp:rsid wsp:val=&quot;00DE5155&quot;/&gt;&lt;wsp:rsid wsp:val=&quot;00DE5A62&quot;/&gt;&lt;wsp:rsid wsp:val=&quot;00DE707A&quot;/&gt;&lt;wsp:rsid wsp:val=&quot;00DF0111&quot;/&gt;&lt;wsp:rsid wsp:val=&quot;00DF17EE&quot;/&gt;&lt;wsp:rsid wsp:val=&quot;00DF325F&quot;/&gt;&lt;wsp:rsid wsp:val=&quot;00DF3F6A&quot;/&gt;&lt;wsp:rsid wsp:val=&quot;00DF46B1&quot;/&gt;&lt;wsp:rsid wsp:val=&quot;00DF4B05&quot;/&gt;&lt;wsp:rsid wsp:val=&quot;00DF4BB0&quot;/&gt;&lt;wsp:rsid wsp:val=&quot;00DF5416&quot;/&gt;&lt;wsp:rsid wsp:val=&quot;00E01372&quot;/&gt;&lt;wsp:rsid wsp:val=&quot;00E01E93&quot;/&gt;&lt;wsp:rsid wsp:val=&quot;00E03022&quot;/&gt;&lt;wsp:rsid wsp:val=&quot;00E057FF&quot;/&gt;&lt;wsp:rsid wsp:val=&quot;00E07200&quot;/&gt;&lt;wsp:rsid wsp:val=&quot;00E11E51&quot;/&gt;&lt;wsp:rsid wsp:val=&quot;00E130A4&quot;/&gt;&lt;wsp:rsid wsp:val=&quot;00E13E05&quot;/&gt;&lt;wsp:rsid wsp:val=&quot;00E20892&quot;/&gt;&lt;wsp:rsid wsp:val=&quot;00E2627F&quot;/&gt;&lt;wsp:rsid wsp:val=&quot;00E322F1&quot;/&gt;&lt;wsp:rsid wsp:val=&quot;00E32BEE&quot;/&gt;&lt;wsp:rsid wsp:val=&quot;00E34382&quot;/&gt;&lt;wsp:rsid wsp:val=&quot;00E34F43&quot;/&gt;&lt;wsp:rsid wsp:val=&quot;00E351AD&quot;/&gt;&lt;wsp:rsid wsp:val=&quot;00E407AC&quot;/&gt;&lt;wsp:rsid wsp:val=&quot;00E435D3&quot;/&gt;&lt;wsp:rsid wsp:val=&quot;00E43F30&quot;/&gt;&lt;wsp:rsid wsp:val=&quot;00E46489&quot;/&gt;&lt;wsp:rsid wsp:val=&quot;00E46490&quot;/&gt;&lt;wsp:rsid wsp:val=&quot;00E47FDE&quot;/&gt;&lt;wsp:rsid wsp:val=&quot;00E524D0&quot;/&gt;&lt;wsp:rsid wsp:val=&quot;00E53019&quot;/&gt;&lt;wsp:rsid wsp:val=&quot;00E54CA2&quot;/&gt;&lt;wsp:rsid wsp:val=&quot;00E55F86&quot;/&gt;&lt;wsp:rsid wsp:val=&quot;00E60CB4&quot;/&gt;&lt;wsp:rsid wsp:val=&quot;00E633D7&quot;/&gt;&lt;wsp:rsid wsp:val=&quot;00E64A49&quot;/&gt;&lt;wsp:rsid wsp:val=&quot;00E65FEE&quot;/&gt;&lt;wsp:rsid wsp:val=&quot;00E67062&quot;/&gt;&lt;wsp:rsid wsp:val=&quot;00E70311&quot;/&gt;&lt;wsp:rsid wsp:val=&quot;00E70500&quot;/&gt;&lt;wsp:rsid wsp:val=&quot;00E719ED&quot;/&gt;&lt;wsp:rsid wsp:val=&quot;00E71BB6&quot;/&gt;&lt;wsp:rsid wsp:val=&quot;00E72542&quot;/&gt;&lt;wsp:rsid wsp:val=&quot;00E73133&quot;/&gt;&lt;wsp:rsid wsp:val=&quot;00E73E2B&quot;/&gt;&lt;wsp:rsid wsp:val=&quot;00E74BCA&quot;/&gt;&lt;wsp:rsid wsp:val=&quot;00E7586B&quot;/&gt;&lt;wsp:rsid wsp:val=&quot;00E75E82&quot;/&gt;&lt;wsp:rsid wsp:val=&quot;00E7673C&quot;/&gt;&lt;wsp:rsid wsp:val=&quot;00E7769E&quot;/&gt;&lt;wsp:rsid wsp:val=&quot;00E834CA&quot;/&gt;&lt;wsp:rsid wsp:val=&quot;00E83CC5&quot;/&gt;&lt;wsp:rsid wsp:val=&quot;00E8407D&quot;/&gt;&lt;wsp:rsid wsp:val=&quot;00E84DDC&quot;/&gt;&lt;wsp:rsid wsp:val=&quot;00E86EE2&quot;/&gt;&lt;wsp:rsid wsp:val=&quot;00E91993&quot;/&gt;&lt;wsp:rsid wsp:val=&quot;00E91FF8&quot;/&gt;&lt;wsp:rsid wsp:val=&quot;00E957FC&quot;/&gt;&lt;wsp:rsid wsp:val=&quot;00E959F5&quot;/&gt;&lt;wsp:rsid wsp:val=&quot;00E95F0A&quot;/&gt;&lt;wsp:rsid wsp:val=&quot;00E9611C&quot;/&gt;&lt;wsp:rsid wsp:val=&quot;00EA177B&quot;/&gt;&lt;wsp:rsid wsp:val=&quot;00EA235C&quot;/&gt;&lt;wsp:rsid wsp:val=&quot;00EA350F&quot;/&gt;&lt;wsp:rsid wsp:val=&quot;00EA4F9D&quot;/&gt;&lt;wsp:rsid wsp:val=&quot;00EA6313&quot;/&gt;&lt;wsp:rsid wsp:val=&quot;00EA6B79&quot;/&gt;&lt;wsp:rsid wsp:val=&quot;00EA708F&quot;/&gt;&lt;wsp:rsid wsp:val=&quot;00EA7990&quot;/&gt;&lt;wsp:rsid wsp:val=&quot;00EB0F20&quot;/&gt;&lt;wsp:rsid wsp:val=&quot;00EB14BE&quot;/&gt;&lt;wsp:rsid wsp:val=&quot;00EB1C21&quot;/&gt;&lt;wsp:rsid wsp:val=&quot;00EB2988&quot;/&gt;&lt;wsp:rsid wsp:val=&quot;00EB37A1&quot;/&gt;&lt;wsp:rsid wsp:val=&quot;00EB3EE9&quot;/&gt;&lt;wsp:rsid wsp:val=&quot;00EB4922&quot;/&gt;&lt;wsp:rsid wsp:val=&quot;00EB53DA&quot;/&gt;&lt;wsp:rsid wsp:val=&quot;00EB7802&quot;/&gt;&lt;wsp:rsid wsp:val=&quot;00EC3C0B&quot;/&gt;&lt;wsp:rsid wsp:val=&quot;00EC4EEB&quot;/&gt;&lt;wsp:rsid wsp:val=&quot;00EC5FA7&quot;/&gt;&lt;wsp:rsid wsp:val=&quot;00EC7B40&quot;/&gt;&lt;wsp:rsid wsp:val=&quot;00ED034C&quot;/&gt;&lt;wsp:rsid wsp:val=&quot;00ED0C5C&quot;/&gt;&lt;wsp:rsid wsp:val=&quot;00ED1810&quot;/&gt;&lt;wsp:rsid wsp:val=&quot;00ED2E01&quot;/&gt;&lt;wsp:rsid wsp:val=&quot;00ED5155&quot;/&gt;&lt;wsp:rsid wsp:val=&quot;00ED55AE&quot;/&gt;&lt;wsp:rsid wsp:val=&quot;00EE1DB6&quot;/&gt;&lt;wsp:rsid wsp:val=&quot;00EF1AAC&quot;/&gt;&lt;wsp:rsid wsp:val=&quot;00EF1E52&quot;/&gt;&lt;wsp:rsid wsp:val=&quot;00EF2F51&quot;/&gt;&lt;wsp:rsid wsp:val=&quot;00EF4F07&quot;/&gt;&lt;wsp:rsid wsp:val=&quot;00EF6036&quot;/&gt;&lt;wsp:rsid wsp:val=&quot;00EF71B3&quot;/&gt;&lt;wsp:rsid wsp:val=&quot;00F000D6&quot;/&gt;&lt;wsp:rsid wsp:val=&quot;00F0023E&quot;/&gt;&lt;wsp:rsid wsp:val=&quot;00F01F8B&quot;/&gt;&lt;wsp:rsid wsp:val=&quot;00F02AFD&quot;/&gt;&lt;wsp:rsid wsp:val=&quot;00F02E1D&quot;/&gt;&lt;wsp:rsid wsp:val=&quot;00F05C34&quot;/&gt;&lt;wsp:rsid wsp:val=&quot;00F07B8D&quot;/&gt;&lt;wsp:rsid wsp:val=&quot;00F1304F&quot;/&gt;&lt;wsp:rsid wsp:val=&quot;00F17258&quot;/&gt;&lt;wsp:rsid wsp:val=&quot;00F230BA&quot;/&gt;&lt;wsp:rsid wsp:val=&quot;00F23620&quot;/&gt;&lt;wsp:rsid wsp:val=&quot;00F23910&quot;/&gt;&lt;wsp:rsid wsp:val=&quot;00F261B5&quot;/&gt;&lt;wsp:rsid wsp:val=&quot;00F26BD4&quot;/&gt;&lt;wsp:rsid wsp:val=&quot;00F27DE6&quot;/&gt;&lt;wsp:rsid wsp:val=&quot;00F30FD9&quot;/&gt;&lt;wsp:rsid wsp:val=&quot;00F31E35&quot;/&gt;&lt;wsp:rsid wsp:val=&quot;00F32994&quot;/&gt;&lt;wsp:rsid wsp:val=&quot;00F34E13&quot;/&gt;&lt;wsp:rsid wsp:val=&quot;00F4032A&quot;/&gt;&lt;wsp:rsid wsp:val=&quot;00F44ADB&quot;/&gt;&lt;wsp:rsid wsp:val=&quot;00F44C3C&quot;/&gt;&lt;wsp:rsid wsp:val=&quot;00F4586C&quot;/&gt;&lt;wsp:rsid wsp:val=&quot;00F462D0&quot;/&gt;&lt;wsp:rsid wsp:val=&quot;00F46823&quot;/&gt;&lt;wsp:rsid wsp:val=&quot;00F47397&quot;/&gt;&lt;wsp:rsid wsp:val=&quot;00F4746C&quot;/&gt;&lt;wsp:rsid wsp:val=&quot;00F52B54&quot;/&gt;&lt;wsp:rsid wsp:val=&quot;00F52FD6&quot;/&gt;&lt;wsp:rsid wsp:val=&quot;00F54CF9&quot;/&gt;&lt;wsp:rsid wsp:val=&quot;00F60FEE&quot;/&gt;&lt;wsp:rsid wsp:val=&quot;00F6105F&quot;/&gt;&lt;wsp:rsid wsp:val=&quot;00F61405&quot;/&gt;&lt;wsp:rsid wsp:val=&quot;00F61573&quot;/&gt;&lt;wsp:rsid wsp:val=&quot;00F63ACE&quot;/&gt;&lt;wsp:rsid wsp:val=&quot;00F6759C&quot;/&gt;&lt;wsp:rsid wsp:val=&quot;00F67E59&quot;/&gt;&lt;wsp:rsid wsp:val=&quot;00F71576&quot;/&gt;&lt;wsp:rsid wsp:val=&quot;00F724AE&quot;/&gt;&lt;wsp:rsid wsp:val=&quot;00F72CCD&quot;/&gt;&lt;wsp:rsid wsp:val=&quot;00F75264&quot;/&gt;&lt;wsp:rsid wsp:val=&quot;00F756A4&quot;/&gt;&lt;wsp:rsid wsp:val=&quot;00F75CFD&quot;/&gt;&lt;wsp:rsid wsp:val=&quot;00F775DF&quot;/&gt;&lt;wsp:rsid wsp:val=&quot;00F82E18&quot;/&gt;&lt;wsp:rsid wsp:val=&quot;00F846D6&quot;/&gt;&lt;wsp:rsid wsp:val=&quot;00F84BB8&quot;/&gt;&lt;wsp:rsid wsp:val=&quot;00F85221&quot;/&gt;&lt;wsp:rsid wsp:val=&quot;00F8638F&quot;/&gt;&lt;wsp:rsid wsp:val=&quot;00F86511&quot;/&gt;&lt;wsp:rsid wsp:val=&quot;00F91B6E&quot;/&gt;&lt;wsp:rsid wsp:val=&quot;00F92A66&quot;/&gt;&lt;wsp:rsid wsp:val=&quot;00F9423D&quot;/&gt;&lt;wsp:rsid wsp:val=&quot;00F95794&quot;/&gt;&lt;wsp:rsid wsp:val=&quot;00F962C8&quot;/&gt;&lt;wsp:rsid wsp:val=&quot;00F964AE&quot;/&gt;&lt;wsp:rsid wsp:val=&quot;00F9692E&quot;/&gt;&lt;wsp:rsid wsp:val=&quot;00F97775&quot;/&gt;&lt;wsp:rsid wsp:val=&quot;00FA0EC3&quot;/&gt;&lt;wsp:rsid wsp:val=&quot;00FA3065&quot;/&gt;&lt;wsp:rsid wsp:val=&quot;00FA3788&quot;/&gt;&lt;wsp:rsid wsp:val=&quot;00FA6F9F&quot;/&gt;&lt;wsp:rsid wsp:val=&quot;00FA7DAE&quot;/&gt;&lt;wsp:rsid wsp:val=&quot;00FA7FD4&quot;/&gt;&lt;wsp:rsid wsp:val=&quot;00FB02B8&quot;/&gt;&lt;wsp:rsid wsp:val=&quot;00FB0F0E&quot;/&gt;&lt;wsp:rsid wsp:val=&quot;00FB1020&quot;/&gt;&lt;wsp:rsid wsp:val=&quot;00FB3721&quot;/&gt;&lt;wsp:rsid wsp:val=&quot;00FB6D5C&quot;/&gt;&lt;wsp:rsid wsp:val=&quot;00FB7783&quot;/&gt;&lt;wsp:rsid wsp:val=&quot;00FC0288&quot;/&gt;&lt;wsp:rsid wsp:val=&quot;00FC3B92&quot;/&gt;&lt;wsp:rsid wsp:val=&quot;00FC5F97&quot;/&gt;&lt;wsp:rsid wsp:val=&quot;00FC6459&quot;/&gt;&lt;wsp:rsid wsp:val=&quot;00FC6BF4&quot;/&gt;&lt;wsp:rsid wsp:val=&quot;00FD0171&quot;/&gt;&lt;wsp:rsid wsp:val=&quot;00FD04CC&quot;/&gt;&lt;wsp:rsid wsp:val=&quot;00FD1437&quot;/&gt;&lt;wsp:rsid wsp:val=&quot;00FD2A5F&quot;/&gt;&lt;wsp:rsid wsp:val=&quot;00FD2DE6&quot;/&gt;&lt;wsp:rsid wsp:val=&quot;00FD43E6&quot;/&gt;&lt;wsp:rsid wsp:val=&quot;00FE11F6&quot;/&gt;&lt;wsp:rsid wsp:val=&quot;00FE1FEE&quot;/&gt;&lt;wsp:rsid wsp:val=&quot;00FE2569&quot;/&gt;&lt;wsp:rsid wsp:val=&quot;00FE279C&quot;/&gt;&lt;wsp:rsid wsp:val=&quot;00FE3521&quot;/&gt;&lt;wsp:rsid wsp:val=&quot;00FE3B5F&quot;/&gt;&lt;wsp:rsid wsp:val=&quot;00FE6A52&quot;/&gt;&lt;wsp:rsid wsp:val=&quot;00FE76A9&quot;/&gt;&lt;wsp:rsid wsp:val=&quot;00FE7FEE&quot;/&gt;&lt;wsp:rsid wsp:val=&quot;00FF0E3C&quot;/&gt;&lt;wsp:rsid wsp:val=&quot;00FF3EBE&quot;/&gt;&lt;wsp:rsid wsp:val=&quot;00FF45F8&quot;/&gt;&lt;wsp:rsid wsp:val=&quot;00FF4C94&quot;/&gt;&lt;wsp:rsid wsp:val=&quot;00FF5AE1&quot;/&gt;&lt;wsp:rsid wsp:val=&quot;00FF73C4&quot;/&gt;&lt;/wsp:rsids&gt;&lt;/w:docPr&gt;&lt;w:body&gt;&lt;wx:sect&gt;&lt;w:p wsp:rsidR=&quot;00000000&quot; wsp:rsidRDefault=&quot;00EA4F9D&quot; wsp:rsidP=&quot;00EA4F9D&quot;&gt;&lt;m:oMathPara&gt;&lt;m:oMath&gt;&lt;m:sSub&gt;&lt;m:sSubPr&gt;&lt;m:ctrlPr&gt;&lt;w:rPr&gt;&lt;w:rFonts w:ascii=&quot;Cambria Math&quot; w:fareast=&quot;Malgun Gothic&quot; w:h-ansi=&quot;Cambria Math&quot; w:cs=&quot;Calibri&quot;/&gt;&lt;wx:font wx:val=&quot;Cambria Math&quot;/&gt;&lt;w:i/&gt;&lt;w:i-cs/&gt;&lt;w:color w:val=&quot;000000&quot;/&gt;&lt;w:sz w:val=&quot;22&quot;/&gt;&lt;w:lang w:fareast=&quot;JA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color w:val=&quot;000000&quot;/&gt;&lt;w:sz-cs w:val=&quot;20&quot;/&gt;&lt;w:lang w:val=&quot;ZH-CN&quot; w:fareast=&quot;JA&quot;/&gt;&lt;/w:rPr&gt;&lt;m:t&gt;n&lt;/m:t&gt;&lt;/m:r&gt;&lt;/m:e&gt;&lt;m:sub&gt;&lt;m:r&gt;&lt;w:rPr&gt;&lt;w:rFonts w:ascii=&quot;Cambria Math&quot; w:fareast=&quot;Times New Roman&quot; w:h-ansi=&quot;Cambria Math&quot;/&gt;&lt;wx:font wx:val=&quot;Cambria Math&quot;/&gt;&lt;w:i/&gt;&lt;w:color w:val=&quot;000000&quot;/&gt;&lt;w:sz-cs w:val=&quot;20&quot;/&gt;&lt;w:lang w:val=&quot;ZH-CN&quot; w:fareast=&quot;JA&quot;/&gt;&lt;/w:rPr&gt;&lt;m:t&gt;D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8" o:title="" chromakey="white"/>
                </v:shape>
              </w:pict>
            </w:r>
            <w:r>
              <w:rPr>
                <w:rFonts w:eastAsia="Times New Roman" w:cs="Times"/>
                <w:color w:val="000000"/>
                <w:lang w:eastAsia="ja-JP"/>
              </w:rPr>
              <w:instrText xml:space="preserve"> </w:instrText>
            </w:r>
            <w:r>
              <w:rPr>
                <w:rFonts w:eastAsia="Times New Roman" w:cs="Times"/>
                <w:color w:val="000000"/>
                <w:lang w:eastAsia="ja-JP"/>
              </w:rPr>
              <w:fldChar w:fldCharType="end"/>
            </w:r>
            <w:r>
              <w:rPr>
                <w:rFonts w:eastAsia="Times New Roman" w:cs="Times"/>
                <w:color w:val="000000"/>
                <w:lang w:eastAsia="ja-JP"/>
              </w:rPr>
              <w:t xml:space="preserve"> for the reference PDSCH </w:t>
            </w:r>
            <w:r>
              <w:rPr>
                <w:rFonts w:eastAsia="Times New Roman" w:cs="Times"/>
                <w:lang w:eastAsia="ja-JP"/>
              </w:rPr>
              <w:t>recepti</w:t>
            </w:r>
            <w:r>
              <w:rPr>
                <w:rFonts w:eastAsia="Times New Roman" w:cs="Times"/>
                <w:lang w:eastAsia="ja-JP"/>
              </w:rPr>
              <w:t xml:space="preserve">on for slot-based PUCCH or an UL slot </w:t>
            </w:r>
            <w:r>
              <w:rPr>
                <w:rFonts w:cs="Times"/>
              </w:rPr>
              <w:t xml:space="preserve">overlapping with the end of the reference PDSCH reception in DL slot </w:t>
            </w:r>
            <m:oMath>
              <m:sSub>
                <m:sSubPr>
                  <m:ctrlPr>
                    <w:rPr>
                      <w:rFonts w:ascii="Cambria Math" w:eastAsia="Malgun Gothic" w:hAnsi="Cambria Math" w:cs="Calibri"/>
                      <w:i/>
                      <w:iCs/>
                      <w:color w:val="000000"/>
                      <w:sz w:val="22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color w:val="000000"/>
                      <w:lang w:val="zh-CN" w:eastAsia="ja-JP"/>
                    </w:rPr>
                    <m:t>n</m:t>
                  </m:r>
                </m:e>
                <m:sub>
                  <m:r>
                    <w:rPr>
                      <w:rFonts w:ascii="Cambria Math" w:eastAsia="Times New Roman" w:hAnsi="Cambria Math"/>
                      <w:color w:val="000000"/>
                      <w:lang w:val="zh-CN" w:eastAsia="ja-JP"/>
                    </w:rPr>
                    <m:t>D</m:t>
                  </m:r>
                </m:sub>
              </m:sSub>
            </m:oMath>
            <w:r>
              <w:rPr>
                <w:rFonts w:eastAsia="Times New Roman" w:cs="Times"/>
                <w:lang w:eastAsia="ja-JP"/>
              </w:rPr>
              <w:t xml:space="preserve"> for sub-slot based PUCCH.</w:t>
            </w:r>
          </w:p>
          <w:p w:rsidR="00226FAD" w:rsidRDefault="0042112D">
            <w:pPr>
              <w:rPr>
                <w:rFonts w:cs="Times"/>
                <w:b/>
                <w:bCs/>
                <w:highlight w:val="green"/>
              </w:rPr>
            </w:pPr>
            <w:r>
              <w:rPr>
                <w:rFonts w:cs="Times" w:hint="eastAsia"/>
                <w:b/>
                <w:bCs/>
                <w:highlight w:val="green"/>
                <w:lang w:val="en-US" w:eastAsia="zh-CN"/>
              </w:rPr>
              <w:t xml:space="preserve">RAN1#112 </w:t>
            </w:r>
            <w:r>
              <w:rPr>
                <w:rFonts w:cs="Times"/>
                <w:b/>
                <w:bCs/>
                <w:highlight w:val="green"/>
              </w:rPr>
              <w:t>Agreement</w:t>
            </w:r>
          </w:p>
          <w:p w:rsidR="00226FAD" w:rsidRDefault="0042112D">
            <w:pPr>
              <w:overflowPunct w:val="0"/>
              <w:autoSpaceDE w:val="0"/>
              <w:autoSpaceDN w:val="0"/>
              <w:textAlignment w:val="baseline"/>
              <w:rPr>
                <w:rFonts w:cs="Times"/>
              </w:rPr>
            </w:pPr>
            <w:r>
              <w:rPr>
                <w:rFonts w:cs="Times"/>
              </w:rPr>
              <w:t>For determining the timing of a PUCCH carrying HARQ-ACK information corresponding to a set of co-sc</w:t>
            </w:r>
            <w:r>
              <w:rPr>
                <w:rFonts w:cs="Times"/>
              </w:rPr>
              <w:t>heduled PDSCHs by a DCI format 1_X, the reference PDSCH is the PDSCH ending last as indicated in the DCI format 1_X among the set of co-scheduled PDSCHs.</w:t>
            </w:r>
          </w:p>
          <w:p w:rsidR="00226FAD" w:rsidRDefault="0042112D">
            <w:pPr>
              <w:rPr>
                <w:rFonts w:cs="Times"/>
                <w:b/>
                <w:bCs/>
                <w:highlight w:val="green"/>
              </w:rPr>
            </w:pPr>
            <w:r>
              <w:rPr>
                <w:rFonts w:cs="Times" w:hint="eastAsia"/>
                <w:b/>
                <w:bCs/>
                <w:highlight w:val="green"/>
                <w:lang w:val="en-US" w:eastAsia="zh-CN"/>
              </w:rPr>
              <w:t xml:space="preserve">RAN1#112 </w:t>
            </w:r>
            <w:r>
              <w:rPr>
                <w:rFonts w:cs="Times"/>
                <w:b/>
                <w:bCs/>
                <w:highlight w:val="green"/>
              </w:rPr>
              <w:t>Agreement</w:t>
            </w:r>
          </w:p>
          <w:p w:rsidR="00226FAD" w:rsidRDefault="0042112D">
            <w:pPr>
              <w:rPr>
                <w:iCs/>
                <w:lang w:val="en-US" w:eastAsia="zh-CN"/>
              </w:rPr>
            </w:pPr>
            <w:r>
              <w:rPr>
                <w:rFonts w:cs="Times"/>
              </w:rPr>
              <w:t>For Type-2 HARQ-ACK codebook, for a set of cells which is co-scheduled by a DCI for</w:t>
            </w:r>
            <w:r>
              <w:rPr>
                <w:rFonts w:cs="Times"/>
              </w:rPr>
              <w:t>mat 1_X, the reference PDSCH to determine DAI counting is the PDSCH with smallest serving cell index among the set of co-scheduled cells.</w:t>
            </w:r>
          </w:p>
        </w:tc>
      </w:tr>
    </w:tbl>
    <w:p w:rsidR="00226FAD" w:rsidRDefault="0042112D">
      <w:pPr>
        <w:spacing w:beforeLines="50" w:before="120"/>
        <w:rPr>
          <w:i/>
          <w:iCs/>
          <w:lang w:val="en-US" w:eastAsia="zh-CN"/>
        </w:rPr>
      </w:pPr>
      <w:r>
        <w:rPr>
          <w:rFonts w:hint="eastAsia"/>
          <w:b/>
          <w:i/>
        </w:rPr>
        <w:lastRenderedPageBreak/>
        <w:t>P</w:t>
      </w:r>
      <w:r>
        <w:rPr>
          <w:b/>
          <w:i/>
        </w:rPr>
        <w:t xml:space="preserve">roposal </w:t>
      </w:r>
      <w:r>
        <w:rPr>
          <w:rFonts w:hint="eastAsia"/>
          <w:b/>
          <w:i/>
          <w:lang w:val="en-US" w:eastAsia="zh-CN"/>
        </w:rPr>
        <w:t>2</w:t>
      </w:r>
      <w:r>
        <w:rPr>
          <w:b/>
          <w:i/>
        </w:rPr>
        <w:t>:</w:t>
      </w:r>
      <w:r>
        <w:rPr>
          <w:i/>
        </w:rPr>
        <w:t xml:space="preserve"> </w:t>
      </w:r>
      <w:r>
        <w:rPr>
          <w:rFonts w:hint="eastAsia"/>
          <w:i/>
          <w:iCs/>
          <w:lang w:val="en-US" w:eastAsia="zh-CN"/>
        </w:rPr>
        <w:t xml:space="preserve">The principle of HARQ-ACK feedback </w:t>
      </w:r>
      <w:r>
        <w:rPr>
          <w:i/>
          <w:iCs/>
          <w:lang w:val="en-US" w:eastAsia="zh-CN"/>
        </w:rPr>
        <w:t xml:space="preserve">for Rel-18 multi-cell scheduling </w:t>
      </w:r>
      <w:r>
        <w:rPr>
          <w:rFonts w:hint="eastAsia"/>
          <w:i/>
          <w:iCs/>
          <w:lang w:val="en-US" w:eastAsia="zh-CN"/>
        </w:rPr>
        <w:t xml:space="preserve">should be reused for Rel-19 </w:t>
      </w:r>
      <w:r>
        <w:rPr>
          <w:rFonts w:cs="Times"/>
          <w:i/>
          <w:iCs/>
        </w:rPr>
        <w:t>multi-cell scheduling</w:t>
      </w:r>
      <w:r>
        <w:rPr>
          <w:rFonts w:hint="eastAsia"/>
          <w:i/>
          <w:iCs/>
          <w:lang w:val="en-US" w:eastAsia="zh-CN"/>
        </w:rPr>
        <w:t>.</w:t>
      </w:r>
    </w:p>
    <w:p w:rsidR="00226FAD" w:rsidRDefault="0042112D">
      <w:pPr>
        <w:pStyle w:val="af2"/>
        <w:numPr>
          <w:ilvl w:val="0"/>
          <w:numId w:val="14"/>
        </w:numPr>
        <w:kinsoku w:val="0"/>
        <w:overflowPunct w:val="0"/>
        <w:adjustRightInd w:val="0"/>
        <w:textAlignment w:val="baseline"/>
        <w:rPr>
          <w:rFonts w:eastAsia="Times New Roman" w:cs="Times"/>
          <w:i/>
          <w:iCs/>
          <w:lang w:eastAsia="ja-JP"/>
        </w:rPr>
      </w:pPr>
      <w:r>
        <w:rPr>
          <w:rFonts w:eastAsia="Times New Roman" w:cs="Times"/>
          <w:i/>
          <w:iCs/>
          <w:lang w:eastAsia="ja-JP"/>
        </w:rPr>
        <w:t>When UE detects a DCI format 1_</w:t>
      </w:r>
      <w:r>
        <w:rPr>
          <w:rFonts w:cs="Times" w:hint="eastAsia"/>
          <w:i/>
          <w:iCs/>
          <w:lang w:val="en-US" w:eastAsia="zh-CN"/>
        </w:rPr>
        <w:t>3</w:t>
      </w:r>
      <w:r>
        <w:rPr>
          <w:rFonts w:eastAsia="Times New Roman" w:cs="Times"/>
          <w:i/>
          <w:iCs/>
          <w:lang w:eastAsia="ja-JP"/>
        </w:rPr>
        <w:t xml:space="preserve"> scheduling a set of PDSCHs, the UE provides corresponding HARQ-ACK information in a PUCCH transmission within UL slot </w:t>
      </w:r>
      <m:oMath>
        <m:r>
          <w:rPr>
            <w:rFonts w:ascii="Cambria Math" w:eastAsia="Times New Roman" w:hAnsi="Cambria Math"/>
            <w:color w:val="000000"/>
            <w:lang w:val="zh-CN" w:eastAsia="ja-JP"/>
          </w:rPr>
          <m:t>n</m:t>
        </m:r>
        <m:r>
          <w:rPr>
            <w:rFonts w:ascii="Cambria Math" w:hAnsi="Cambria Math"/>
            <w:color w:val="000000"/>
            <w:lang w:val="en-US" w:eastAsia="zh-CN"/>
          </w:rPr>
          <m:t>+</m:t>
        </m:r>
        <m:r>
          <w:rPr>
            <w:rFonts w:ascii="Cambria Math" w:hAnsi="Cambria Math"/>
            <w:color w:val="000000"/>
            <w:lang w:val="en-US" w:eastAsia="zh-CN"/>
          </w:rPr>
          <m:t>k</m:t>
        </m:r>
      </m:oMath>
      <w:r>
        <w:rPr>
          <w:rFonts w:eastAsia="Times New Roman" w:cs="Times"/>
          <w:i/>
          <w:iCs/>
          <w:lang w:eastAsia="ja-JP"/>
        </w:rPr>
        <w:t xml:space="preserve">, where </w:t>
      </w:r>
      <m:oMath>
        <m:r>
          <w:rPr>
            <w:rFonts w:ascii="Cambria Math" w:hAnsi="Cambria Math"/>
            <w:color w:val="000000"/>
            <w:lang w:val="en-US" w:eastAsia="zh-CN"/>
          </w:rPr>
          <m:t>k</m:t>
        </m:r>
      </m:oMath>
      <w:r>
        <w:rPr>
          <w:rFonts w:eastAsia="Times New Roman" w:cs="Times"/>
          <w:i/>
          <w:iCs/>
          <w:lang w:eastAsia="ja-JP"/>
        </w:rPr>
        <w:t xml:space="preserve"> is a number of slots and is indicated by the PDSCH-to-HARQ_feedbac</w:t>
      </w:r>
      <w:r>
        <w:rPr>
          <w:rFonts w:eastAsia="Times New Roman" w:cs="Times"/>
          <w:i/>
          <w:iCs/>
          <w:lang w:eastAsia="ja-JP"/>
        </w:rPr>
        <w:t xml:space="preserve">k timing indicator field in the DCI format and </w:t>
      </w:r>
      <m:oMath>
        <m:r>
          <w:rPr>
            <w:rFonts w:ascii="Cambria Math" w:eastAsia="Times New Roman" w:hAnsi="Cambria Math"/>
            <w:color w:val="000000"/>
            <w:lang w:val="zh-CN" w:eastAsia="ja-JP"/>
          </w:rPr>
          <m:t>n</m:t>
        </m:r>
      </m:oMath>
      <w:r>
        <w:rPr>
          <w:rFonts w:eastAsia="Times New Roman" w:cs="Times"/>
          <w:i/>
          <w:iCs/>
          <w:lang w:eastAsia="ja-JP"/>
        </w:rPr>
        <w:t xml:space="preserve"> is the last UL slot overlapping with the DL slot </w:t>
      </w:r>
      <m:oMath>
        <m:sSub>
          <m:sSubPr>
            <m:ctrlPr>
              <w:rPr>
                <w:rFonts w:ascii="Cambria Math" w:eastAsia="Malgun Gothic" w:hAnsi="Cambria Math" w:cs="Calibri"/>
                <w:i/>
                <w:iCs/>
                <w:color w:val="000000"/>
                <w:sz w:val="22"/>
                <w:lang w:eastAsia="ja-JP"/>
              </w:rPr>
            </m:ctrlPr>
          </m:sSubPr>
          <m:e>
            <m:r>
              <w:rPr>
                <w:rFonts w:ascii="Cambria Math" w:eastAsia="Times New Roman" w:hAnsi="Cambria Math"/>
                <w:color w:val="000000"/>
                <w:lang w:val="zh-CN" w:eastAsia="ja-JP"/>
              </w:rPr>
              <m:t>n</m:t>
            </m:r>
          </m:e>
          <m:sub>
            <m:r>
              <w:rPr>
                <w:rFonts w:ascii="Cambria Math" w:eastAsia="Times New Roman" w:hAnsi="Cambria Math"/>
                <w:color w:val="000000"/>
                <w:lang w:val="zh-CN" w:eastAsia="ja-JP"/>
              </w:rPr>
              <m:t>D</m:t>
            </m:r>
          </m:sub>
        </m:sSub>
      </m:oMath>
      <w:r>
        <w:rPr>
          <w:rFonts w:eastAsia="Times New Roman" w:cs="Times"/>
          <w:i/>
          <w:iCs/>
          <w:color w:val="000000"/>
          <w:lang w:eastAsia="ja-JP"/>
        </w:rPr>
        <w:t xml:space="preserve"> for the reference PDSCH </w:t>
      </w:r>
      <w:r>
        <w:rPr>
          <w:rFonts w:eastAsia="Times New Roman" w:cs="Times"/>
          <w:i/>
          <w:iCs/>
          <w:lang w:eastAsia="ja-JP"/>
        </w:rPr>
        <w:t xml:space="preserve">reception for slot-based PUCCH or an UL slot </w:t>
      </w:r>
      <w:r>
        <w:rPr>
          <w:rFonts w:cs="Times"/>
          <w:i/>
          <w:iCs/>
        </w:rPr>
        <w:t xml:space="preserve">overlapping with the end of the reference PDSCH reception in DL slot </w:t>
      </w:r>
      <m:oMath>
        <m:sSub>
          <m:sSubPr>
            <m:ctrlPr>
              <w:rPr>
                <w:rFonts w:ascii="Cambria Math" w:eastAsia="Malgun Gothic" w:hAnsi="Cambria Math" w:cs="Calibri"/>
                <w:i/>
                <w:iCs/>
                <w:color w:val="000000"/>
                <w:sz w:val="22"/>
                <w:lang w:eastAsia="ja-JP"/>
              </w:rPr>
            </m:ctrlPr>
          </m:sSubPr>
          <m:e>
            <m:r>
              <w:rPr>
                <w:rFonts w:ascii="Cambria Math" w:eastAsia="Times New Roman" w:hAnsi="Cambria Math"/>
                <w:color w:val="000000"/>
                <w:lang w:val="zh-CN" w:eastAsia="ja-JP"/>
              </w:rPr>
              <m:t>n</m:t>
            </m:r>
          </m:e>
          <m:sub>
            <m:r>
              <w:rPr>
                <w:rFonts w:ascii="Cambria Math" w:eastAsia="Times New Roman" w:hAnsi="Cambria Math"/>
                <w:color w:val="000000"/>
                <w:lang w:val="zh-CN" w:eastAsia="ja-JP"/>
              </w:rPr>
              <m:t>D</m:t>
            </m:r>
          </m:sub>
        </m:sSub>
      </m:oMath>
      <w:r>
        <w:rPr>
          <w:rFonts w:eastAsia="Times New Roman" w:cs="Times"/>
          <w:i/>
          <w:iCs/>
          <w:lang w:eastAsia="ja-JP"/>
        </w:rPr>
        <w:t xml:space="preserve"> for sub-s</w:t>
      </w:r>
      <w:r>
        <w:rPr>
          <w:rFonts w:eastAsia="Times New Roman" w:cs="Times"/>
          <w:i/>
          <w:iCs/>
          <w:lang w:eastAsia="ja-JP"/>
        </w:rPr>
        <w:t>lot based PUCCH.</w:t>
      </w:r>
    </w:p>
    <w:p w:rsidR="00226FAD" w:rsidRDefault="0042112D">
      <w:pPr>
        <w:pStyle w:val="af2"/>
        <w:numPr>
          <w:ilvl w:val="1"/>
          <w:numId w:val="14"/>
        </w:numPr>
        <w:kinsoku w:val="0"/>
        <w:overflowPunct w:val="0"/>
        <w:adjustRightInd w:val="0"/>
        <w:textAlignment w:val="baseline"/>
        <w:rPr>
          <w:rFonts w:eastAsia="Times New Roman" w:cs="Times"/>
          <w:i/>
          <w:iCs/>
          <w:lang w:eastAsia="ja-JP"/>
        </w:rPr>
      </w:pPr>
      <w:r>
        <w:rPr>
          <w:rFonts w:cs="Times" w:hint="eastAsia"/>
          <w:i/>
          <w:iCs/>
          <w:lang w:val="en-US" w:eastAsia="zh-CN"/>
        </w:rPr>
        <w:t>T</w:t>
      </w:r>
      <w:r>
        <w:rPr>
          <w:rFonts w:cs="Times"/>
          <w:i/>
          <w:iCs/>
        </w:rPr>
        <w:t>he reference PDSCH is the PDSCH ending last as indicated in the DCI format 1_</w:t>
      </w:r>
      <w:r>
        <w:rPr>
          <w:rFonts w:cs="Times" w:hint="eastAsia"/>
          <w:i/>
          <w:iCs/>
          <w:lang w:val="en-US" w:eastAsia="zh-CN"/>
        </w:rPr>
        <w:t>3</w:t>
      </w:r>
      <w:r>
        <w:rPr>
          <w:rFonts w:cs="Times"/>
          <w:i/>
          <w:iCs/>
        </w:rPr>
        <w:t xml:space="preserve"> among the set of co-scheduled PDSCHs.</w:t>
      </w:r>
    </w:p>
    <w:p w:rsidR="00226FAD" w:rsidRDefault="0042112D">
      <w:pPr>
        <w:pStyle w:val="af2"/>
        <w:numPr>
          <w:ilvl w:val="0"/>
          <w:numId w:val="14"/>
        </w:numPr>
        <w:kinsoku w:val="0"/>
        <w:overflowPunct w:val="0"/>
        <w:adjustRightInd w:val="0"/>
        <w:textAlignment w:val="baseline"/>
        <w:rPr>
          <w:rFonts w:eastAsia="Times New Roman" w:cs="Times"/>
          <w:i/>
          <w:iCs/>
          <w:lang w:eastAsia="ja-JP"/>
        </w:rPr>
      </w:pPr>
      <w:r>
        <w:rPr>
          <w:rFonts w:cs="Times"/>
          <w:i/>
          <w:iCs/>
        </w:rPr>
        <w:t>For Type-2 HARQ-ACK codebook, for a set of cells which is co-scheduled by a DCI format 1_</w:t>
      </w:r>
      <w:r>
        <w:rPr>
          <w:rFonts w:cs="Times" w:hint="eastAsia"/>
          <w:i/>
          <w:iCs/>
          <w:lang w:val="en-US" w:eastAsia="zh-CN"/>
        </w:rPr>
        <w:t>3</w:t>
      </w:r>
      <w:r>
        <w:rPr>
          <w:rFonts w:cs="Times"/>
          <w:i/>
          <w:iCs/>
        </w:rPr>
        <w:t xml:space="preserve">, the reference PDSCH to </w:t>
      </w:r>
      <w:r>
        <w:rPr>
          <w:rFonts w:cs="Times"/>
          <w:i/>
          <w:iCs/>
        </w:rPr>
        <w:t>determine DAI counting is the PDSCH with smallest serving cell index among the set of co-scheduled cells.</w:t>
      </w:r>
    </w:p>
    <w:p w:rsidR="00226FAD" w:rsidRDefault="00226FAD">
      <w:pPr>
        <w:rPr>
          <w:lang w:val="en-US" w:eastAsia="zh-CN"/>
        </w:rPr>
      </w:pPr>
    </w:p>
    <w:p w:rsidR="00226FAD" w:rsidRDefault="0042112D">
      <w:pPr>
        <w:pStyle w:val="1"/>
      </w:pPr>
      <w:r>
        <w:rPr>
          <w:rFonts w:eastAsia="Yu Mincho"/>
          <w:lang w:val="en-US"/>
        </w:rPr>
        <w:t>Type-1 HARQ-ACK codebook</w:t>
      </w:r>
    </w:p>
    <w:p w:rsidR="00226FAD" w:rsidRDefault="0042112D" w:rsidP="00785DFB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Based on the clarification in RAN#105 email reflector, </w:t>
      </w:r>
      <w:r>
        <w:rPr>
          <w:lang w:val="en-US" w:eastAsia="zh-CN"/>
        </w:rPr>
        <w:t xml:space="preserve">the notes </w:t>
      </w:r>
      <w:r>
        <w:rPr>
          <w:rFonts w:hint="eastAsia"/>
          <w:lang w:val="en-US" w:eastAsia="zh-CN"/>
        </w:rPr>
        <w:t>in the WID are</w:t>
      </w:r>
      <w:r>
        <w:rPr>
          <w:lang w:val="en-US" w:eastAsia="zh-CN"/>
        </w:rPr>
        <w:t xml:space="preserve"> applicable to both</w:t>
      </w:r>
      <w:r>
        <w:rPr>
          <w:rFonts w:hint="eastAsia"/>
          <w:lang w:val="en-US" w:eastAsia="zh-CN"/>
        </w:rPr>
        <w:t xml:space="preserve"> the</w:t>
      </w:r>
      <w:r>
        <w:rPr>
          <w:lang w:val="en-US" w:eastAsia="zh-CN"/>
        </w:rPr>
        <w:t xml:space="preserve"> 1</w:t>
      </w:r>
      <w:r>
        <w:rPr>
          <w:vertAlign w:val="superscript"/>
          <w:lang w:val="en-US" w:eastAsia="zh-CN"/>
        </w:rPr>
        <w:t>st</w:t>
      </w:r>
      <w:r>
        <w:rPr>
          <w:lang w:val="en-US" w:eastAsia="zh-CN"/>
        </w:rPr>
        <w:t> and 2</w:t>
      </w:r>
      <w:r>
        <w:rPr>
          <w:vertAlign w:val="superscript"/>
          <w:lang w:val="en-US" w:eastAsia="zh-CN"/>
        </w:rPr>
        <w:t>nd</w:t>
      </w:r>
      <w:r>
        <w:rPr>
          <w:lang w:val="en-US" w:eastAsia="zh-CN"/>
        </w:rPr>
        <w:t> bullets</w:t>
      </w:r>
      <w:r>
        <w:rPr>
          <w:rFonts w:hint="eastAsia"/>
          <w:lang w:val="en-US" w:eastAsia="zh-CN"/>
        </w:rPr>
        <w:t xml:space="preserve">. However, the K1 extension and </w:t>
      </w:r>
      <w:r>
        <w:rPr>
          <w:lang w:val="en-US" w:eastAsia="zh-CN"/>
        </w:rPr>
        <w:t>time</w:t>
      </w:r>
      <w:r>
        <w:t xml:space="preserve"> domain HARQ-ACK bundling</w:t>
      </w:r>
      <w:r>
        <w:rPr>
          <w:rFonts w:hint="eastAsia"/>
          <w:lang w:val="en-US" w:eastAsia="zh-CN"/>
        </w:rPr>
        <w:t xml:space="preserve"> for </w:t>
      </w:r>
      <w:r>
        <w:rPr>
          <w:rFonts w:eastAsia="Yu Mincho"/>
          <w:lang w:val="en-US"/>
        </w:rPr>
        <w:t>Type-1 HARQ-ACK codebook</w:t>
      </w:r>
      <w:r>
        <w:rPr>
          <w:rFonts w:hint="eastAsia"/>
          <w:lang w:val="en-US" w:eastAsia="zh-CN"/>
        </w:rPr>
        <w:t xml:space="preserve"> were introduced for multi-PDSCH scheduling on a single cell in Rel-17. To avoid enhancing the Type-1 HARQ-ACK codebook for Rel-19 multi-cell scheduling, the similar </w:t>
      </w:r>
      <w:r>
        <w:rPr>
          <w:rFonts w:hint="eastAsia"/>
          <w:lang w:val="en-US" w:eastAsia="zh-CN"/>
        </w:rPr>
        <w:t xml:space="preserve">restrictions made in Rel-18 should also be </w:t>
      </w:r>
      <w:r>
        <w:rPr>
          <w:lang w:val="en-US" w:eastAsia="zh-CN"/>
        </w:rPr>
        <w:t>applied to</w:t>
      </w:r>
      <w:r>
        <w:rPr>
          <w:rFonts w:hint="eastAsia"/>
          <w:lang w:val="en-US" w:eastAsia="zh-CN"/>
        </w:rPr>
        <w:t xml:space="preserve"> Rel-19 MC.</w:t>
      </w:r>
      <w:r>
        <w:rPr>
          <w:lang w:val="en-US" w:eastAsia="zh-CN"/>
        </w:rPr>
        <w:t xml:space="preserve"> This is achieved by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 implementation.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26FAD">
        <w:tc>
          <w:tcPr>
            <w:tcW w:w="9855" w:type="dxa"/>
          </w:tcPr>
          <w:p w:rsidR="00226FAD" w:rsidRDefault="0042112D">
            <w:pPr>
              <w:overflowPunct w:val="0"/>
              <w:snapToGrid w:val="0"/>
              <w:rPr>
                <w:rFonts w:eastAsia="Times New Roman" w:cs="Times"/>
                <w:b/>
                <w:bCs/>
                <w:lang w:eastAsia="ja-JP"/>
              </w:rPr>
            </w:pPr>
            <w:r>
              <w:rPr>
                <w:rFonts w:cs="Times" w:hint="eastAsia"/>
                <w:b/>
                <w:bCs/>
                <w:lang w:val="en-US" w:eastAsia="zh-CN"/>
              </w:rPr>
              <w:t xml:space="preserve">RAN1#112 </w:t>
            </w:r>
            <w:r>
              <w:rPr>
                <w:rFonts w:eastAsia="Times New Roman" w:cs="Times"/>
                <w:b/>
                <w:bCs/>
                <w:lang w:eastAsia="ja-JP"/>
              </w:rPr>
              <w:t>Conclusion</w:t>
            </w:r>
          </w:p>
          <w:p w:rsidR="00226FAD" w:rsidRDefault="0042112D">
            <w:pPr>
              <w:overflowPunct w:val="0"/>
              <w:autoSpaceDE w:val="0"/>
              <w:autoSpaceDN w:val="0"/>
              <w:textAlignment w:val="baseline"/>
              <w:rPr>
                <w:rFonts w:cs="Times"/>
              </w:rPr>
            </w:pPr>
            <w:r>
              <w:rPr>
                <w:rFonts w:cs="Times"/>
              </w:rPr>
              <w:t>Type-1 HARQ-ACK codebook is supported for multi-cell scheduling without K1 extension.</w:t>
            </w:r>
          </w:p>
          <w:p w:rsidR="00226FAD" w:rsidRDefault="0042112D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ind w:left="720" w:hanging="360"/>
              <w:textAlignment w:val="baseline"/>
              <w:rPr>
                <w:rFonts w:cs="Times"/>
              </w:rPr>
            </w:pPr>
            <w:r>
              <w:rPr>
                <w:rFonts w:cs="Times"/>
              </w:rPr>
              <w:t>UE expects HARQ-ACK information for all co-sc</w:t>
            </w:r>
            <w:r>
              <w:rPr>
                <w:rFonts w:cs="Times"/>
              </w:rPr>
              <w:t>heduled PDSCHs by DCI format 1_X can be mapped in the Type-1 HARQ-ACK codebook.</w:t>
            </w:r>
          </w:p>
          <w:p w:rsidR="00226FAD" w:rsidRDefault="0042112D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ind w:left="720" w:hanging="360"/>
              <w:textAlignment w:val="baseline"/>
              <w:rPr>
                <w:lang w:val="en-US" w:eastAsia="zh-CN"/>
              </w:rPr>
            </w:pPr>
            <w:r>
              <w:rPr>
                <w:rFonts w:cs="Times"/>
              </w:rPr>
              <w:t>Type-1 HARQ-ACK codebook is not enhanced for Rel-18 multi-cell scheduling.</w:t>
            </w:r>
          </w:p>
        </w:tc>
      </w:tr>
    </w:tbl>
    <w:p w:rsidR="00226FAD" w:rsidRDefault="0042112D">
      <w:pPr>
        <w:spacing w:beforeLines="50" w:before="120"/>
        <w:rPr>
          <w:rFonts w:eastAsia="Times New Roman" w:cs="Times"/>
          <w:i/>
          <w:iCs/>
          <w:lang w:eastAsia="ja-JP"/>
        </w:rPr>
      </w:pPr>
      <w:r>
        <w:rPr>
          <w:rFonts w:hint="eastAsia"/>
          <w:b/>
          <w:i/>
        </w:rPr>
        <w:t>P</w:t>
      </w:r>
      <w:r>
        <w:rPr>
          <w:b/>
          <w:i/>
        </w:rPr>
        <w:t xml:space="preserve">roposal </w:t>
      </w:r>
      <w:r>
        <w:rPr>
          <w:rFonts w:hint="eastAsia"/>
          <w:b/>
          <w:i/>
          <w:lang w:val="en-US" w:eastAsia="zh-CN"/>
        </w:rPr>
        <w:t>3</w:t>
      </w:r>
      <w:r>
        <w:rPr>
          <w:b/>
          <w:i/>
        </w:rPr>
        <w:t>:</w:t>
      </w:r>
      <w:r>
        <w:rPr>
          <w:i/>
        </w:rPr>
        <w:t xml:space="preserve"> For </w:t>
      </w:r>
      <w:r>
        <w:rPr>
          <w:rFonts w:cs="Times"/>
          <w:i/>
          <w:iCs/>
        </w:rPr>
        <w:t xml:space="preserve">Type-1 HARQ-ACK codebook for </w:t>
      </w:r>
      <w:r>
        <w:rPr>
          <w:rFonts w:cs="Times" w:hint="eastAsia"/>
          <w:i/>
          <w:iCs/>
          <w:lang w:val="en-US" w:eastAsia="zh-CN"/>
        </w:rPr>
        <w:t xml:space="preserve">Rel-19 </w:t>
      </w:r>
      <w:r>
        <w:rPr>
          <w:rFonts w:cs="Times"/>
          <w:i/>
          <w:iCs/>
        </w:rPr>
        <w:t>multi-cell scheduling, UE expects HARQ-ACK infor</w:t>
      </w:r>
      <w:r>
        <w:rPr>
          <w:rFonts w:cs="Times"/>
          <w:i/>
          <w:iCs/>
        </w:rPr>
        <w:t>mation for all co-scheduled PDSCHs by DCI format 1_</w:t>
      </w:r>
      <w:r>
        <w:rPr>
          <w:rFonts w:cs="Times" w:hint="eastAsia"/>
          <w:i/>
          <w:iCs/>
          <w:lang w:val="en-US" w:eastAsia="zh-CN"/>
        </w:rPr>
        <w:t>3</w:t>
      </w:r>
      <w:r>
        <w:rPr>
          <w:rFonts w:cs="Times"/>
          <w:i/>
          <w:iCs/>
        </w:rPr>
        <w:t xml:space="preserve"> can be mapped in the Type-1 HARQ-ACK codebook.</w:t>
      </w:r>
    </w:p>
    <w:p w:rsidR="00226FAD" w:rsidRDefault="00226FAD">
      <w:pPr>
        <w:rPr>
          <w:lang w:eastAsia="zh-CN"/>
        </w:rPr>
      </w:pPr>
    </w:p>
    <w:p w:rsidR="00226FAD" w:rsidRDefault="0042112D">
      <w:pPr>
        <w:pStyle w:val="1"/>
      </w:pPr>
      <w:r>
        <w:rPr>
          <w:rFonts w:eastAsia="Yu Mincho"/>
          <w:lang w:val="en-US"/>
        </w:rPr>
        <w:t>Type-</w:t>
      </w:r>
      <w:r>
        <w:rPr>
          <w:rFonts w:hint="eastAsia"/>
          <w:lang w:val="en-US" w:eastAsia="zh-CN"/>
        </w:rPr>
        <w:t>2</w:t>
      </w:r>
      <w:r>
        <w:rPr>
          <w:rFonts w:eastAsia="Yu Mincho"/>
          <w:lang w:val="en-US"/>
        </w:rPr>
        <w:t xml:space="preserve"> HARQ-ACK codebook</w:t>
      </w:r>
    </w:p>
    <w:p w:rsidR="00226FAD" w:rsidRDefault="0042112D" w:rsidP="00785DFB">
      <w:pPr>
        <w:rPr>
          <w:lang w:val="en-US" w:eastAsia="zh-CN"/>
        </w:rPr>
      </w:pPr>
      <w:r>
        <w:rPr>
          <w:lang w:val="en-US" w:eastAsia="zh-CN"/>
        </w:rPr>
        <w:t>For Type-2 HARQ-ACK codebook</w:t>
      </w:r>
      <w:r>
        <w:rPr>
          <w:rFonts w:hint="eastAsia"/>
          <w:lang w:val="en-US" w:eastAsia="zh-CN"/>
        </w:rPr>
        <w:t xml:space="preserve"> of Rel-18 MC</w:t>
      </w:r>
      <w:r>
        <w:rPr>
          <w:lang w:val="en-US" w:eastAsia="zh-CN"/>
        </w:rPr>
        <w:t xml:space="preserve">, two sub-codebooks are generated with a first sub-codebook comprising HARQ-ACK </w:t>
      </w:r>
      <w:r>
        <w:rPr>
          <w:lang w:val="en-US" w:eastAsia="zh-CN"/>
        </w:rPr>
        <w:t>information bits for PDSCH(s) scheduled by DCI(s) with each scheduling a single cell and a second sub-codebook comprising HARQ-ACK information bits for PDSCH(s) scheduled by DCI(s) with each scheduling more than one cell.</w:t>
      </w:r>
      <w:r>
        <w:rPr>
          <w:rFonts w:hint="eastAsia"/>
          <w:lang w:val="en-US" w:eastAsia="zh-CN"/>
        </w:rPr>
        <w:t xml:space="preserve"> </w:t>
      </w:r>
      <w:r>
        <w:rPr>
          <w:rFonts w:eastAsia="Times New Roman" w:cs="Times"/>
          <w:lang w:eastAsia="ja-JP"/>
        </w:rPr>
        <w:t xml:space="preserve">DAI is counted separately for the </w:t>
      </w:r>
      <w:r>
        <w:rPr>
          <w:rFonts w:eastAsia="Times New Roman" w:cs="Times"/>
          <w:lang w:eastAsia="ja-JP"/>
        </w:rPr>
        <w:t>two sub-codebooks.</w:t>
      </w:r>
    </w:p>
    <w:p w:rsidR="00226FAD" w:rsidRDefault="0042112D" w:rsidP="00785DFB">
      <w:pPr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 xml:space="preserve">For </w:t>
      </w:r>
      <w:r>
        <w:rPr>
          <w:lang w:val="en-US" w:eastAsia="zh-CN"/>
        </w:rPr>
        <w:t>Type-2 HARQ-ACK codebook</w:t>
      </w:r>
      <w:r>
        <w:rPr>
          <w:rFonts w:hint="eastAsia"/>
          <w:lang w:val="en-US" w:eastAsia="zh-CN"/>
        </w:rPr>
        <w:t xml:space="preserve"> of Rel-17 multi-PDSCH scheduling on one cell, there are also </w:t>
      </w:r>
      <w:r>
        <w:rPr>
          <w:lang w:val="en-US" w:eastAsia="zh-CN"/>
        </w:rPr>
        <w:t xml:space="preserve">two sub-codebooks with a first sub-codebook comprising HARQ-ACK information bits for PDSCH(s) scheduled by DCI(s) with each scheduling a single </w:t>
      </w:r>
      <w:r>
        <w:rPr>
          <w:rFonts w:hint="eastAsia"/>
          <w:lang w:val="en-US" w:eastAsia="zh-CN"/>
        </w:rPr>
        <w:t>PDSCH</w:t>
      </w:r>
      <w:r>
        <w:rPr>
          <w:lang w:val="en-US" w:eastAsia="zh-CN"/>
        </w:rPr>
        <w:t xml:space="preserve"> and a second sub-codebook comprising HARQ-ACK information bits for PDSCH(s) scheduled by DCI(s) with each scheduling more than one </w:t>
      </w:r>
      <w:r>
        <w:rPr>
          <w:rFonts w:hint="eastAsia"/>
          <w:lang w:val="en-US" w:eastAsia="zh-CN"/>
        </w:rPr>
        <w:t>PDSCH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rFonts w:eastAsia="Times New Roman" w:cs="Times"/>
          <w:lang w:eastAsia="ja-JP"/>
        </w:rPr>
        <w:t>DAI is counted separately for the two sub-codebooks.</w:t>
      </w:r>
    </w:p>
    <w:p w:rsidR="00226FAD" w:rsidRDefault="0042112D" w:rsidP="00785DFB">
      <w:pPr>
        <w:rPr>
          <w:lang w:val="en-US" w:eastAsia="zh-CN"/>
        </w:rPr>
      </w:pPr>
      <w:r>
        <w:rPr>
          <w:lang w:val="en-US" w:eastAsia="zh-CN"/>
        </w:rPr>
        <w:t xml:space="preserve">It was agreed that </w:t>
      </w:r>
      <w:r>
        <w:rPr>
          <w:rFonts w:hint="eastAsia"/>
          <w:lang w:val="en-US" w:eastAsia="zh-CN"/>
        </w:rPr>
        <w:t>t</w:t>
      </w:r>
      <w:r>
        <w:rPr>
          <w:rFonts w:eastAsia="Yu Mincho"/>
          <w:lang w:val="en-US"/>
        </w:rPr>
        <w:t xml:space="preserve">he maximum number of sub-codebooks for </w:t>
      </w:r>
      <w:r>
        <w:rPr>
          <w:rFonts w:eastAsia="Yu Mincho"/>
          <w:lang w:val="en-US"/>
        </w:rPr>
        <w:t>Type-2 HARQ-ACK codebook is not increased for Rel-19 multi-cell scheduling.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The two sub-codebooks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should be </w:t>
      </w:r>
      <w:r>
        <w:rPr>
          <w:rFonts w:hint="eastAsia"/>
          <w:lang w:val="en-US" w:eastAsia="zh-CN"/>
        </w:rPr>
        <w:t xml:space="preserve">generated </w:t>
      </w:r>
      <w:r>
        <w:rPr>
          <w:lang w:val="en-US" w:eastAsia="zh-CN"/>
        </w:rPr>
        <w:t xml:space="preserve">as previous release. A first sub-codebook comprises HARQ-ACK information bits for PDSCH(s) scheduled by DCI(s) with each scheduling </w:t>
      </w:r>
      <w:r>
        <w:rPr>
          <w:rFonts w:hint="eastAsia"/>
          <w:lang w:val="en-US" w:eastAsia="zh-CN"/>
        </w:rPr>
        <w:t>a sing</w:t>
      </w:r>
      <w:r>
        <w:rPr>
          <w:rFonts w:hint="eastAsia"/>
          <w:lang w:val="en-US" w:eastAsia="zh-CN"/>
        </w:rPr>
        <w:t xml:space="preserve">le PDSCH </w:t>
      </w:r>
      <w:r>
        <w:rPr>
          <w:lang w:val="en-US" w:eastAsia="zh-CN"/>
        </w:rPr>
        <w:t>and a second sub-codebook comprises HARQ-ACK information bits for PDSCH(s) scheduled by DCI(s) with each scheduling more than one PDSCH</w:t>
      </w:r>
      <w:r>
        <w:rPr>
          <w:rFonts w:hint="eastAsia"/>
          <w:lang w:val="en-US" w:eastAsia="zh-CN"/>
        </w:rPr>
        <w:t xml:space="preserve">. </w:t>
      </w:r>
      <w:r>
        <w:rPr>
          <w:lang w:val="en-US" w:eastAsia="zh-CN"/>
        </w:rPr>
        <w:t xml:space="preserve">The more than one PDSCH can be </w:t>
      </w:r>
      <w:r>
        <w:rPr>
          <w:rFonts w:hint="eastAsia"/>
          <w:lang w:val="en-US" w:eastAsia="zh-CN"/>
        </w:rPr>
        <w:t>on</w:t>
      </w:r>
      <w:r>
        <w:rPr>
          <w:lang w:val="en-US" w:eastAsia="zh-CN"/>
        </w:rPr>
        <w:t xml:space="preserve"> one cell or multiple cells. </w:t>
      </w:r>
      <w:r>
        <w:rPr>
          <w:rFonts w:eastAsia="Times New Roman" w:cs="Times"/>
          <w:lang w:eastAsia="ja-JP"/>
        </w:rPr>
        <w:t>DAI should also be counted separately for the tw</w:t>
      </w:r>
      <w:r>
        <w:rPr>
          <w:rFonts w:eastAsia="Times New Roman" w:cs="Times"/>
          <w:lang w:eastAsia="ja-JP"/>
        </w:rPr>
        <w:t>o sub-codebooks.</w:t>
      </w:r>
    </w:p>
    <w:p w:rsidR="00226FAD" w:rsidRDefault="0042112D">
      <w:pPr>
        <w:pStyle w:val="af2"/>
        <w:kinsoku w:val="0"/>
        <w:overflowPunct w:val="0"/>
        <w:adjustRightInd w:val="0"/>
        <w:ind w:left="0"/>
        <w:textAlignment w:val="baseline"/>
        <w:rPr>
          <w:rFonts w:cs="Times"/>
          <w:i/>
          <w:iCs/>
          <w:lang w:val="en-US" w:eastAsia="zh-CN"/>
        </w:rPr>
      </w:pPr>
      <w:r>
        <w:rPr>
          <w:rFonts w:hint="eastAsia"/>
          <w:b/>
          <w:i/>
        </w:rPr>
        <w:t>P</w:t>
      </w:r>
      <w:r>
        <w:rPr>
          <w:b/>
          <w:i/>
        </w:rPr>
        <w:t xml:space="preserve">roposal </w:t>
      </w:r>
      <w:r>
        <w:rPr>
          <w:rFonts w:hint="eastAsia"/>
          <w:b/>
          <w:i/>
          <w:lang w:val="en-US" w:eastAsia="zh-CN"/>
        </w:rPr>
        <w:t>4</w:t>
      </w:r>
      <w:r>
        <w:rPr>
          <w:b/>
          <w:i/>
        </w:rPr>
        <w:t>:</w:t>
      </w:r>
      <w:r>
        <w:rPr>
          <w:i/>
        </w:rPr>
        <w:t xml:space="preserve"> </w:t>
      </w:r>
      <w:r>
        <w:rPr>
          <w:rFonts w:eastAsia="楷体" w:cs="Times"/>
          <w:i/>
          <w:iCs/>
          <w:lang w:eastAsia="zh-CN"/>
        </w:rPr>
        <w:t xml:space="preserve">For Type-2 HARQ-ACK codebook, </w:t>
      </w:r>
      <w:r>
        <w:rPr>
          <w:i/>
          <w:iCs/>
          <w:lang w:val="en-US" w:eastAsia="zh-CN"/>
        </w:rPr>
        <w:t>two sub-codebooks</w:t>
      </w:r>
      <w:r>
        <w:rPr>
          <w:rFonts w:hint="eastAsia"/>
          <w:i/>
          <w:iCs/>
          <w:lang w:val="en-US" w:eastAsia="zh-CN"/>
        </w:rPr>
        <w:t xml:space="preserve"> are generated </w:t>
      </w:r>
      <w:r>
        <w:rPr>
          <w:i/>
          <w:iCs/>
          <w:lang w:val="en-US" w:eastAsia="zh-CN"/>
        </w:rPr>
        <w:t xml:space="preserve">with a first sub-codebook comprising HARQ-ACK information bits for PDSCH(s) scheduled by DCI(s) with each scheduling a </w:t>
      </w:r>
      <w:r>
        <w:rPr>
          <w:rFonts w:hint="eastAsia"/>
          <w:i/>
          <w:iCs/>
          <w:lang w:val="en-US" w:eastAsia="zh-CN"/>
        </w:rPr>
        <w:t xml:space="preserve">single PDSCH </w:t>
      </w:r>
      <w:r>
        <w:rPr>
          <w:i/>
          <w:iCs/>
          <w:lang w:val="en-US" w:eastAsia="zh-CN"/>
        </w:rPr>
        <w:t>and a second sub-codebook compris</w:t>
      </w:r>
      <w:r>
        <w:rPr>
          <w:i/>
          <w:iCs/>
          <w:lang w:val="en-US" w:eastAsia="zh-CN"/>
        </w:rPr>
        <w:t xml:space="preserve">ing HARQ-ACK information bits for PDSCH(s) scheduled by DCI(s) with each </w:t>
      </w:r>
      <w:r>
        <w:rPr>
          <w:rFonts w:cs="Times"/>
          <w:i/>
          <w:iCs/>
          <w:lang w:val="en-US" w:eastAsia="zh-CN"/>
        </w:rPr>
        <w:t xml:space="preserve">scheduling </w:t>
      </w:r>
      <w:r>
        <w:rPr>
          <w:rFonts w:cs="Times" w:hint="eastAsia"/>
          <w:i/>
          <w:iCs/>
          <w:lang w:val="en-US" w:eastAsia="zh-CN"/>
        </w:rPr>
        <w:t>multiple PDSCHs.</w:t>
      </w:r>
    </w:p>
    <w:p w:rsidR="00226FAD" w:rsidRDefault="0042112D">
      <w:pPr>
        <w:pStyle w:val="af2"/>
        <w:numPr>
          <w:ilvl w:val="0"/>
          <w:numId w:val="14"/>
        </w:numPr>
        <w:kinsoku w:val="0"/>
        <w:overflowPunct w:val="0"/>
        <w:adjustRightInd w:val="0"/>
        <w:textAlignment w:val="baseline"/>
        <w:rPr>
          <w:rFonts w:cs="Times"/>
          <w:i/>
          <w:iCs/>
          <w:lang w:val="en-US" w:eastAsia="zh-CN"/>
        </w:rPr>
      </w:pPr>
      <w:r>
        <w:rPr>
          <w:rFonts w:cs="Times"/>
          <w:i/>
          <w:iCs/>
          <w:lang w:eastAsia="ja-JP"/>
        </w:rPr>
        <w:t>Separate DAI counting for two sub-codebooks.</w:t>
      </w:r>
    </w:p>
    <w:p w:rsidR="00226FAD" w:rsidRDefault="0042112D" w:rsidP="00703553">
      <w:pPr>
        <w:rPr>
          <w:rFonts w:cs="Times"/>
          <w:snapToGrid w:val="0"/>
          <w:lang w:val="en-US" w:eastAsia="zh-CN"/>
        </w:rPr>
      </w:pPr>
      <w:r>
        <w:rPr>
          <w:rFonts w:hint="eastAsia"/>
          <w:lang w:val="en-US" w:eastAsia="zh-CN"/>
        </w:rPr>
        <w:t>Since the second sub-codebook is derived based on combination of sub-codebook for multi-cell scheduling and sub-codebook for multi-PDSCH scheduling, the HARQ-ACK bits size and order in the second sub-codebook should be specified. The number of HARQ-ACK bit</w:t>
      </w:r>
      <w:r>
        <w:rPr>
          <w:rFonts w:hint="eastAsia"/>
          <w:lang w:val="en-US" w:eastAsia="zh-CN"/>
        </w:rPr>
        <w:t xml:space="preserve">s for each DCI format 1_3 that schedules multiple PDSCHs can be determined by 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 w:eastAsia="zh-CN"/>
              </w:rPr>
              <m:t>N</m:t>
            </m:r>
          </m:e>
          <m:sub>
            <m:r>
              <w:rPr>
                <w:rFonts w:ascii="Cambria Math" w:hAnsi="Cambria Math"/>
                <w:lang w:val="en-US" w:eastAsia="zh-CN"/>
              </w:rPr>
              <m:t>cell</m:t>
            </m:r>
          </m:sub>
          <m:sup>
            <m:r>
              <w:rPr>
                <w:rFonts w:ascii="Cambria Math" w:hAnsi="Cambria Math"/>
                <w:lang w:val="en-US" w:eastAsia="zh-CN"/>
              </w:rPr>
              <m:t>max</m:t>
            </m:r>
          </m:sup>
        </m:sSubSup>
        <m:r>
          <w:rPr>
            <w:rFonts w:ascii="Cambria Math" w:hAnsi="Cambria Math" w:cs="Cambria Math"/>
            <w:lang w:val="en-US"/>
          </w:rPr>
          <m:t>·</m:t>
        </m:r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 w:eastAsia="zh-CN"/>
              </w:rPr>
              <m:t>N</m:t>
            </m:r>
          </m:e>
          <m:sub>
            <m:r>
              <w:rPr>
                <w:rFonts w:ascii="Cambria Math" w:hAnsi="Cambria Math"/>
                <w:lang w:val="en-US" w:eastAsia="zh-CN"/>
              </w:rPr>
              <m:t>PDSCH</m:t>
            </m:r>
          </m:sub>
          <m:sup>
            <m:r>
              <w:rPr>
                <w:rFonts w:ascii="Cambria Math" w:hAnsi="Cambria Math"/>
                <w:lang w:val="en-US" w:eastAsia="zh-CN"/>
              </w:rPr>
              <m:t>max</m:t>
            </m:r>
          </m:sup>
        </m:sSubSup>
      </m:oMath>
      <w:r>
        <w:rPr>
          <w:rFonts w:eastAsia="Malgun Gothic"/>
          <w:lang w:val="en-US" w:eastAsia="ko-KR"/>
        </w:rPr>
        <w:t xml:space="preserve"> </w:t>
      </w:r>
      <w:r>
        <w:rPr>
          <w:rFonts w:hint="eastAsia"/>
          <w:lang w:val="en-US" w:eastAsia="zh-CN"/>
        </w:rPr>
        <w:t>or M</w:t>
      </w:r>
      <w:r>
        <w:rPr>
          <w:rFonts w:eastAsia="Times New Roman" w:cs="Times"/>
          <w:lang w:eastAsia="ja-JP"/>
        </w:rPr>
        <w:t xml:space="preserve">, where 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 w:eastAsia="zh-CN"/>
              </w:rPr>
              <m:t>N</m:t>
            </m:r>
          </m:e>
          <m:sub>
            <m:r>
              <w:rPr>
                <w:rFonts w:ascii="Cambria Math" w:hAnsi="Cambria Math"/>
                <w:lang w:val="en-US" w:eastAsia="zh-CN"/>
              </w:rPr>
              <m:t>cell</m:t>
            </m:r>
          </m:sub>
          <m:sup>
            <m:r>
              <w:rPr>
                <w:rFonts w:ascii="Cambria Math" w:hAnsi="Cambria Math"/>
                <w:lang w:val="en-US" w:eastAsia="zh-CN"/>
              </w:rPr>
              <m:t>max</m:t>
            </m:r>
          </m:sup>
        </m:sSubSup>
      </m:oMath>
      <w:r>
        <w:rPr>
          <w:rFonts w:eastAsia="Times New Roman" w:cs="Times"/>
          <w:lang w:eastAsia="ja-JP"/>
        </w:rPr>
        <w:t xml:space="preserve"> is the maximum number of cells which can be co-scheduled by a DCI format 1_</w:t>
      </w:r>
      <w:r>
        <w:rPr>
          <w:rFonts w:cs="Times" w:hint="eastAsia"/>
          <w:lang w:val="en-US" w:eastAsia="zh-CN"/>
        </w:rPr>
        <w:t>3</w:t>
      </w:r>
      <w:r>
        <w:rPr>
          <w:rFonts w:eastAsia="Times New Roman" w:cs="Times"/>
          <w:lang w:eastAsia="ja-JP"/>
        </w:rPr>
        <w:t xml:space="preserve"> in the PUCCH group for the UE</w:t>
      </w:r>
      <w:r>
        <w:rPr>
          <w:rFonts w:cs="Times" w:hint="eastAsia"/>
          <w:lang w:val="en-US" w:eastAsia="zh-CN"/>
        </w:rPr>
        <w:t xml:space="preserve">, 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 w:eastAsia="zh-CN"/>
              </w:rPr>
              <m:t>N</m:t>
            </m:r>
          </m:e>
          <m:sub>
            <m:r>
              <w:rPr>
                <w:rFonts w:ascii="Cambria Math" w:hAnsi="Cambria Math"/>
                <w:lang w:val="en-US" w:eastAsia="zh-CN"/>
              </w:rPr>
              <m:t>P</m:t>
            </m:r>
            <m:r>
              <w:rPr>
                <w:rFonts w:ascii="Cambria Math" w:hAnsi="Cambria Math"/>
                <w:lang w:val="en-US" w:eastAsia="zh-CN"/>
              </w:rPr>
              <m:t>D</m:t>
            </m:r>
            <m:r>
              <w:rPr>
                <w:rFonts w:ascii="Cambria Math" w:hAnsi="Cambria Math"/>
                <w:lang w:val="en-US" w:eastAsia="zh-CN"/>
              </w:rPr>
              <m:t>SCH</m:t>
            </m:r>
          </m:sub>
          <m:sup>
            <m:r>
              <w:rPr>
                <w:rFonts w:ascii="Cambria Math" w:hAnsi="Cambria Math"/>
                <w:lang w:val="en-US" w:eastAsia="zh-CN"/>
              </w:rPr>
              <m:t>max</m:t>
            </m:r>
          </m:sup>
        </m:sSubSup>
      </m:oMath>
      <w:r>
        <w:rPr>
          <w:rFonts w:eastAsia="Times New Roman" w:cs="Times"/>
          <w:lang w:eastAsia="ja-JP"/>
        </w:rPr>
        <w:t xml:space="preserve"> </w:t>
      </w:r>
      <w:r>
        <w:rPr>
          <w:rFonts w:cs="Times" w:hint="eastAsia"/>
          <w:lang w:val="en-US" w:eastAsia="zh-CN"/>
        </w:rPr>
        <w:t xml:space="preserve">is the </w:t>
      </w:r>
      <w:r>
        <w:rPr>
          <w:rFonts w:eastAsia="Malgun Gothic"/>
          <w:lang w:val="en-US" w:eastAsia="ko-KR"/>
        </w:rPr>
        <w:t>maximum configured number of PDSCHs for multi-PDSCH DCI across serving cells belonging to the same PUCCH group</w:t>
      </w:r>
      <w:r>
        <w:rPr>
          <w:rFonts w:hint="eastAsia"/>
          <w:lang w:val="en-US" w:eastAsia="zh-CN"/>
        </w:rPr>
        <w:t xml:space="preserve">, </w:t>
      </w:r>
      <w:r>
        <w:rPr>
          <w:rFonts w:cs="Times"/>
          <w:snapToGrid w:val="0"/>
        </w:rPr>
        <w:t xml:space="preserve">M is the maximum number of </w:t>
      </w:r>
      <w:r>
        <w:rPr>
          <w:rFonts w:cs="Times" w:hint="eastAsia"/>
          <w:snapToGrid w:val="0"/>
          <w:lang w:val="en-US" w:eastAsia="zh-CN"/>
        </w:rPr>
        <w:t>PDSCH</w:t>
      </w:r>
      <w:r>
        <w:rPr>
          <w:rFonts w:cs="Times"/>
          <w:snapToGrid w:val="0"/>
        </w:rPr>
        <w:t>s which can be co-scheduled by a DCI format 1_</w:t>
      </w:r>
      <w:r>
        <w:rPr>
          <w:rFonts w:cs="Times" w:hint="eastAsia"/>
          <w:snapToGrid w:val="0"/>
          <w:lang w:val="en-US" w:eastAsia="zh-CN"/>
        </w:rPr>
        <w:t>3</w:t>
      </w:r>
      <w:r>
        <w:rPr>
          <w:rFonts w:cs="Times"/>
          <w:snapToGrid w:val="0"/>
        </w:rPr>
        <w:t xml:space="preserve"> in the PUCCH group for the UE</w:t>
      </w:r>
      <w:r>
        <w:rPr>
          <w:rFonts w:eastAsia="Times New Roman" w:cs="Times"/>
          <w:lang w:eastAsia="ja-JP"/>
        </w:rPr>
        <w:t>.</w:t>
      </w:r>
      <w:r>
        <w:rPr>
          <w:rFonts w:cs="Times" w:hint="eastAsia"/>
          <w:lang w:val="en-US" w:eastAsia="zh-CN"/>
        </w:rPr>
        <w:t xml:space="preserve"> The latter o</w:t>
      </w:r>
      <w:r>
        <w:rPr>
          <w:rFonts w:cs="Times" w:hint="eastAsia"/>
          <w:lang w:val="en-US" w:eastAsia="zh-CN"/>
        </w:rPr>
        <w:t xml:space="preserve">ne is preferred </w:t>
      </w:r>
      <w:r>
        <w:rPr>
          <w:rFonts w:cs="Times"/>
          <w:lang w:val="en-US" w:eastAsia="zh-CN"/>
        </w:rPr>
        <w:t>to follow</w:t>
      </w:r>
      <w:r>
        <w:rPr>
          <w:rFonts w:cs="Times" w:hint="eastAsia"/>
          <w:lang w:val="en-US" w:eastAsia="zh-CN"/>
        </w:rPr>
        <w:t xml:space="preserve"> the similar principle of Rel-18 MC </w:t>
      </w:r>
      <w:r>
        <w:rPr>
          <w:rFonts w:cs="Times" w:hint="eastAsia"/>
          <w:snapToGrid w:val="0"/>
          <w:lang w:val="en-US" w:eastAsia="zh-CN"/>
        </w:rPr>
        <w:t xml:space="preserve">below, aiming to achieve the minimum overhead of HARQ-ACK bits. 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26FAD">
        <w:tc>
          <w:tcPr>
            <w:tcW w:w="9855" w:type="dxa"/>
          </w:tcPr>
          <w:p w:rsidR="00226FAD" w:rsidRDefault="0042112D">
            <w:pPr>
              <w:keepNext/>
              <w:rPr>
                <w:rFonts w:eastAsia="Malgun Gothic" w:cs="Times"/>
                <w:b/>
                <w:bCs/>
                <w:highlight w:val="green"/>
                <w:lang w:eastAsia="ko-KR"/>
              </w:rPr>
            </w:pPr>
            <w:r>
              <w:rPr>
                <w:rFonts w:cs="Times"/>
                <w:b/>
                <w:bCs/>
                <w:highlight w:val="green"/>
              </w:rPr>
              <w:t>Agreement</w:t>
            </w:r>
          </w:p>
          <w:p w:rsidR="00226FAD" w:rsidRDefault="0042112D">
            <w:pPr>
              <w:spacing w:beforeLines="50" w:before="120"/>
              <w:rPr>
                <w:rFonts w:cs="Times"/>
                <w:snapToGrid w:val="0"/>
                <w:lang w:val="en-US" w:eastAsia="zh-CN"/>
              </w:rPr>
            </w:pPr>
            <w:r>
              <w:rPr>
                <w:rFonts w:cs="Times"/>
                <w:snapToGrid w:val="0"/>
              </w:rPr>
              <w:t>For Type-2 HARQ-ACK codebook, if at least one cell of a set of cells which can be co-scheduled by DCI format 1_X is conf</w:t>
            </w:r>
            <w:r>
              <w:rPr>
                <w:rFonts w:cs="Times"/>
                <w:snapToGrid w:val="0"/>
              </w:rPr>
              <w:t>igured with maximum 2 codewords per PDSCH without spatial bundling, the number of HARQ-ACK information bits for each DCI format 1_X that schedules more than one cell of the set of cells is equal to M, where M is the maximum number of TBs which can be co-sc</w:t>
            </w:r>
            <w:r>
              <w:rPr>
                <w:rFonts w:cs="Times"/>
                <w:snapToGrid w:val="0"/>
              </w:rPr>
              <w:t>heduled by a DCI format 1_X in the PUCCH group for the UE.</w:t>
            </w:r>
          </w:p>
        </w:tc>
      </w:tr>
    </w:tbl>
    <w:p w:rsidR="00226FAD" w:rsidRDefault="0042112D">
      <w:pPr>
        <w:spacing w:beforeLines="50" w:before="120"/>
        <w:rPr>
          <w:lang w:val="en-US" w:eastAsia="zh-CN"/>
        </w:rPr>
      </w:pPr>
      <w:r>
        <w:rPr>
          <w:rFonts w:cs="Times" w:hint="eastAsia"/>
          <w:snapToGrid w:val="0"/>
          <w:lang w:val="en-US" w:eastAsia="zh-CN"/>
        </w:rPr>
        <w:t>T</w:t>
      </w:r>
      <w:r>
        <w:rPr>
          <w:rFonts w:cs="Times"/>
          <w:snapToGrid w:val="0"/>
        </w:rPr>
        <w:t xml:space="preserve">he HARQ-ACK bits </w:t>
      </w:r>
      <w:r>
        <w:rPr>
          <w:rFonts w:cs="Times" w:hint="eastAsia"/>
          <w:snapToGrid w:val="0"/>
          <w:lang w:val="en-US" w:eastAsia="zh-CN"/>
        </w:rPr>
        <w:t xml:space="preserve">order </w:t>
      </w:r>
      <w:r>
        <w:rPr>
          <w:rFonts w:cs="Times"/>
          <w:snapToGrid w:val="0"/>
        </w:rPr>
        <w:t>for each DCI format 1_</w:t>
      </w:r>
      <w:r>
        <w:rPr>
          <w:rFonts w:cs="Times" w:hint="eastAsia"/>
          <w:snapToGrid w:val="0"/>
          <w:lang w:val="en-US" w:eastAsia="zh-CN"/>
        </w:rPr>
        <w:t>3</w:t>
      </w:r>
      <w:r>
        <w:rPr>
          <w:rFonts w:cs="Times"/>
          <w:snapToGrid w:val="0"/>
        </w:rPr>
        <w:t xml:space="preserve"> for the second sub-codebook </w:t>
      </w:r>
      <w:r>
        <w:rPr>
          <w:rFonts w:cs="Times" w:hint="eastAsia"/>
          <w:snapToGrid w:val="0"/>
          <w:lang w:val="en-US" w:eastAsia="zh-CN"/>
        </w:rPr>
        <w:t xml:space="preserve">can be determined by </w:t>
      </w:r>
      <w:r>
        <w:rPr>
          <w:rFonts w:hint="eastAsia"/>
          <w:lang w:val="en-US" w:eastAsia="zh-CN"/>
        </w:rPr>
        <w:t>one of following alternatives:</w:t>
      </w:r>
    </w:p>
    <w:p w:rsidR="00226FAD" w:rsidRDefault="0042112D">
      <w:pPr>
        <w:numPr>
          <w:ilvl w:val="0"/>
          <w:numId w:val="14"/>
        </w:numPr>
        <w:rPr>
          <w:lang w:val="en-US" w:eastAsia="zh-CN"/>
        </w:rPr>
      </w:pPr>
      <w:r>
        <w:rPr>
          <w:rFonts w:hint="eastAsia"/>
          <w:lang w:val="en-US" w:eastAsia="zh-CN"/>
        </w:rPr>
        <w:t xml:space="preserve">Alt.1, </w:t>
      </w:r>
      <w:r>
        <w:rPr>
          <w:lang w:val="en-US" w:eastAsia="zh-CN"/>
        </w:rPr>
        <w:t>The H</w:t>
      </w:r>
      <w:r>
        <w:rPr>
          <w:lang w:val="en-US" w:eastAsia="zh-CN"/>
        </w:rPr>
        <w:t>ARQ-ACK bits are concatenated</w:t>
      </w:r>
      <w:r>
        <w:rPr>
          <w:rFonts w:hint="eastAsia"/>
          <w:lang w:val="en-US" w:eastAsia="zh-CN"/>
        </w:rPr>
        <w:t xml:space="preserve"> first </w:t>
      </w:r>
      <w:r>
        <w:t xml:space="preserve">in </w:t>
      </w:r>
      <w:r>
        <w:rPr>
          <w:lang w:eastAsia="zh-CN"/>
        </w:rPr>
        <w:t>ascending</w:t>
      </w:r>
      <w:r>
        <w:t xml:space="preserve"> order of</w:t>
      </w:r>
      <w:r>
        <w:rPr>
          <w:rFonts w:hint="eastAsia"/>
          <w:lang w:val="en-US" w:eastAsia="zh-CN"/>
        </w:rPr>
        <w:t xml:space="preserve"> cell index without multi-PDSCH scheduling configured, then </w:t>
      </w:r>
      <w:r>
        <w:t xml:space="preserve">in </w:t>
      </w:r>
      <w:r w:rsidR="00703553">
        <w:rPr>
          <w:lang w:eastAsia="zh-CN"/>
        </w:rPr>
        <w:t>ascending</w:t>
      </w:r>
      <w:r w:rsidR="00703553">
        <w:t xml:space="preserve"> </w:t>
      </w:r>
      <w:r>
        <w:t>order of</w:t>
      </w:r>
      <w:r>
        <w:rPr>
          <w:rFonts w:hint="eastAsia"/>
          <w:lang w:val="en-US" w:eastAsia="zh-CN"/>
        </w:rPr>
        <w:t xml:space="preserve"> PDSCH reception of the multi-PDSCH scheduling based on </w:t>
      </w:r>
      <w:r>
        <w:rPr>
          <w:lang w:eastAsia="zh-CN"/>
        </w:rPr>
        <w:t>ascending</w:t>
      </w:r>
      <w:r>
        <w:t xml:space="preserve"> </w:t>
      </w:r>
      <w:r>
        <w:rPr>
          <w:rFonts w:hint="eastAsia"/>
          <w:lang w:val="en-US" w:eastAsia="zh-CN"/>
        </w:rPr>
        <w:t xml:space="preserve">cell </w:t>
      </w:r>
      <w:r>
        <w:t>order</w:t>
      </w:r>
      <w:r>
        <w:rPr>
          <w:rFonts w:hint="eastAsia"/>
          <w:lang w:val="en-US" w:eastAsia="zh-CN"/>
        </w:rPr>
        <w:t>.</w:t>
      </w:r>
      <w:r>
        <w:rPr>
          <w:rFonts w:hint="eastAsia"/>
          <w:lang w:val="en-US" w:eastAsia="zh-CN"/>
        </w:rPr>
        <w:t xml:space="preserve">  </w:t>
      </w:r>
    </w:p>
    <w:p w:rsidR="00226FAD" w:rsidRDefault="0042112D">
      <w:pPr>
        <w:numPr>
          <w:ilvl w:val="0"/>
          <w:numId w:val="14"/>
        </w:numPr>
        <w:rPr>
          <w:lang w:val="en-US" w:eastAsia="zh-CN"/>
        </w:rPr>
      </w:pPr>
      <w:r>
        <w:rPr>
          <w:rFonts w:hint="eastAsia"/>
          <w:lang w:val="en-US" w:eastAsia="zh-CN"/>
        </w:rPr>
        <w:t xml:space="preserve">Alt.2, </w:t>
      </w:r>
      <w:r>
        <w:rPr>
          <w:lang w:val="en-US" w:eastAsia="zh-CN"/>
        </w:rPr>
        <w:t>The HARQ-ACK bits are concatenated</w:t>
      </w:r>
      <w:r>
        <w:rPr>
          <w:rFonts w:hint="eastAsia"/>
          <w:lang w:val="en-US" w:eastAsia="zh-CN"/>
        </w:rPr>
        <w:t xml:space="preserve"> first </w:t>
      </w:r>
      <w:r>
        <w:t xml:space="preserve">in </w:t>
      </w:r>
      <w:r w:rsidR="00703553">
        <w:rPr>
          <w:lang w:eastAsia="zh-CN"/>
        </w:rPr>
        <w:t>ascending</w:t>
      </w:r>
      <w:r w:rsidR="00703553">
        <w:t xml:space="preserve"> </w:t>
      </w:r>
      <w:bookmarkStart w:id="0" w:name="_GoBack"/>
      <w:bookmarkEnd w:id="0"/>
      <w:r>
        <w:t>order of</w:t>
      </w:r>
      <w:r>
        <w:rPr>
          <w:rFonts w:hint="eastAsia"/>
          <w:lang w:val="en-US" w:eastAsia="zh-CN"/>
        </w:rPr>
        <w:t xml:space="preserve"> PDSCH receptio</w:t>
      </w:r>
      <w:r>
        <w:rPr>
          <w:rFonts w:hint="eastAsia"/>
          <w:lang w:val="en-US" w:eastAsia="zh-CN"/>
        </w:rPr>
        <w:t xml:space="preserve">n of the multi-PDSCH scheduling based on </w:t>
      </w:r>
      <w:r>
        <w:rPr>
          <w:lang w:eastAsia="zh-CN"/>
        </w:rPr>
        <w:t>ascending</w:t>
      </w:r>
      <w:r>
        <w:t xml:space="preserve"> </w:t>
      </w:r>
      <w:r>
        <w:rPr>
          <w:rFonts w:hint="eastAsia"/>
          <w:lang w:val="en-US" w:eastAsia="zh-CN"/>
        </w:rPr>
        <w:t xml:space="preserve">cell </w:t>
      </w:r>
      <w:r>
        <w:t>order</w:t>
      </w:r>
      <w:r>
        <w:rPr>
          <w:rFonts w:hint="eastAsia"/>
          <w:lang w:val="en-US" w:eastAsia="zh-CN"/>
        </w:rPr>
        <w:t xml:space="preserve">, then </w:t>
      </w:r>
      <w:r>
        <w:t xml:space="preserve">in </w:t>
      </w:r>
      <w:r>
        <w:rPr>
          <w:lang w:eastAsia="zh-CN"/>
        </w:rPr>
        <w:t>ascending</w:t>
      </w:r>
      <w:r>
        <w:t xml:space="preserve"> order of</w:t>
      </w:r>
      <w:r>
        <w:rPr>
          <w:rFonts w:hint="eastAsia"/>
          <w:lang w:val="en-US" w:eastAsia="zh-CN"/>
        </w:rPr>
        <w:t xml:space="preserve"> cell index without multi-PDSCH scheduling configured. </w:t>
      </w:r>
    </w:p>
    <w:p w:rsidR="00226FAD" w:rsidRDefault="0042112D">
      <w:pPr>
        <w:numPr>
          <w:ilvl w:val="0"/>
          <w:numId w:val="14"/>
        </w:numPr>
        <w:rPr>
          <w:lang w:val="en-US" w:eastAsia="zh-CN"/>
        </w:rPr>
      </w:pPr>
      <w:r>
        <w:rPr>
          <w:rFonts w:hint="eastAsia"/>
          <w:lang w:val="en-US" w:eastAsia="zh-CN"/>
        </w:rPr>
        <w:t xml:space="preserve">Alt.3, </w:t>
      </w:r>
      <w:r>
        <w:rPr>
          <w:lang w:val="en-US" w:eastAsia="zh-CN"/>
        </w:rPr>
        <w:t xml:space="preserve">The HARQ-ACK bits are concatenated first </w:t>
      </w:r>
      <w:r>
        <w:t xml:space="preserve">in </w:t>
      </w:r>
      <w:r>
        <w:rPr>
          <w:lang w:eastAsia="zh-CN"/>
        </w:rPr>
        <w:t>ascending</w:t>
      </w:r>
      <w:r>
        <w:t xml:space="preserve"> order of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PDSCH reception starting time, second in </w:t>
      </w:r>
      <w:r>
        <w:rPr>
          <w:lang w:val="en-US" w:eastAsia="zh-CN"/>
        </w:rPr>
        <w:t xml:space="preserve">the ascending order of </w:t>
      </w:r>
      <w:r>
        <w:rPr>
          <w:rFonts w:hint="eastAsia"/>
          <w:lang w:val="en-US" w:eastAsia="zh-CN"/>
        </w:rPr>
        <w:t xml:space="preserve">cell index.    </w:t>
      </w:r>
    </w:p>
    <w:p w:rsidR="00226FAD" w:rsidRDefault="0042112D">
      <w:pPr>
        <w:rPr>
          <w:lang w:val="en-US" w:eastAsia="zh-CN"/>
        </w:rPr>
      </w:pPr>
      <w:r>
        <w:rPr>
          <w:rFonts w:hint="eastAsia"/>
          <w:lang w:val="en-US" w:eastAsia="zh-CN"/>
        </w:rPr>
        <w:t>Alt.3 is slightly preferred</w:t>
      </w:r>
      <w:r>
        <w:rPr>
          <w:lang w:val="en-US" w:eastAsia="zh-CN"/>
        </w:rPr>
        <w:t xml:space="preserve"> since it is in line with the bit order of the multi-cell scheduling in Rel-18.</w:t>
      </w:r>
    </w:p>
    <w:p w:rsidR="00226FAD" w:rsidRDefault="0042112D">
      <w:pPr>
        <w:spacing w:beforeLines="50" w:before="120"/>
        <w:rPr>
          <w:rFonts w:cs="Times"/>
          <w:snapToGrid w:val="0"/>
          <w:lang w:val="en-US" w:eastAsia="zh-CN"/>
        </w:rPr>
      </w:pPr>
      <w:r>
        <w:rPr>
          <w:rFonts w:hint="eastAsia"/>
          <w:lang w:val="en-US" w:eastAsia="zh-CN"/>
        </w:rPr>
        <w:t>For example, as illustrated in Figure 1, there are four cells configured in one cell set for multi-cell schedu</w:t>
      </w:r>
      <w:r>
        <w:rPr>
          <w:rFonts w:hint="eastAsia"/>
          <w:lang w:val="en-US" w:eastAsia="zh-CN"/>
        </w:rPr>
        <w:t>ling, where two of the four cells are configured with multi-PDSCH scheduling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ssuming </w:t>
      </w:r>
      <w:r>
        <w:rPr>
          <w:rFonts w:eastAsia="Malgun Gothic"/>
          <w:lang w:val="en-US" w:eastAsia="ko-KR"/>
        </w:rPr>
        <w:t>the maximum number of PDSCHs that can be scheduled by DCI format 1_3 across cell sets belonging to the same PUCCH group</w:t>
      </w:r>
      <w:r>
        <w:rPr>
          <w:rFonts w:hint="eastAsia"/>
          <w:lang w:val="en-US" w:eastAsia="zh-CN"/>
        </w:rPr>
        <w:t xml:space="preserve"> is 10. The number of HARQ-ACK bits for the DCI th</w:t>
      </w:r>
      <w:r>
        <w:rPr>
          <w:rFonts w:hint="eastAsia"/>
          <w:lang w:val="en-US" w:eastAsia="zh-CN"/>
        </w:rPr>
        <w:t>at schedules multiple PDSCHs is determined by M = 10 bits</w:t>
      </w:r>
      <w:r>
        <w:rPr>
          <w:rFonts w:cs="Times" w:hint="eastAsia"/>
          <w:lang w:val="en-US" w:eastAsia="zh-CN"/>
        </w:rPr>
        <w:t xml:space="preserve">. Assuming the positive HARQ-ACK information is only generated for all the scheduled PDSCHs on CC1 and CC3, the HARQ-ACK bits are </w:t>
      </w:r>
      <w:r>
        <w:rPr>
          <w:rFonts w:cs="Times"/>
          <w:lang w:val="en-US" w:eastAsia="zh-CN"/>
        </w:rPr>
        <w:t>“</w:t>
      </w:r>
      <w:r>
        <w:rPr>
          <w:rFonts w:cs="Times" w:hint="eastAsia"/>
          <w:lang w:val="en-US" w:eastAsia="zh-CN"/>
        </w:rPr>
        <w:t>0110111100</w:t>
      </w:r>
      <w:r>
        <w:rPr>
          <w:rFonts w:cs="Times"/>
          <w:lang w:val="en-US" w:eastAsia="zh-CN"/>
        </w:rPr>
        <w:t>”</w:t>
      </w:r>
      <w:r>
        <w:rPr>
          <w:rFonts w:cs="Times" w:hint="eastAsia"/>
          <w:lang w:val="en-US" w:eastAsia="zh-CN"/>
        </w:rPr>
        <w:t xml:space="preserve"> for the DCI.</w:t>
      </w:r>
    </w:p>
    <w:p w:rsidR="00226FAD" w:rsidRDefault="0042112D">
      <w:pPr>
        <w:jc w:val="center"/>
      </w:pPr>
      <w:r>
        <w:rPr>
          <w:noProof/>
        </w:rPr>
        <w:lastRenderedPageBreak/>
        <w:drawing>
          <wp:inline distT="0" distB="0" distL="114300" distR="114300">
            <wp:extent cx="3764280" cy="1661160"/>
            <wp:effectExtent l="0" t="0" r="0" b="0"/>
            <wp:docPr id="4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764280" cy="1661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6FAD" w:rsidRDefault="0042112D">
      <w:pPr>
        <w:spacing w:beforeLines="50" w:before="120"/>
        <w:jc w:val="center"/>
        <w:rPr>
          <w:lang w:val="en-US" w:eastAsia="zh-CN"/>
        </w:rPr>
      </w:pPr>
      <w:r>
        <w:rPr>
          <w:rFonts w:hint="eastAsia"/>
          <w:lang w:val="en-US" w:eastAsia="zh-CN"/>
        </w:rPr>
        <w:t xml:space="preserve">Figure 1 Example of multi-cell and </w:t>
      </w:r>
      <w:r>
        <w:rPr>
          <w:rFonts w:hint="eastAsia"/>
          <w:lang w:val="en-US" w:eastAsia="zh-CN"/>
        </w:rPr>
        <w:t>multi-PDSCH scheduling</w:t>
      </w:r>
    </w:p>
    <w:p w:rsidR="00226FAD" w:rsidRDefault="0042112D">
      <w:pPr>
        <w:pStyle w:val="af2"/>
        <w:kinsoku w:val="0"/>
        <w:overflowPunct w:val="0"/>
        <w:adjustRightInd w:val="0"/>
        <w:ind w:left="0"/>
        <w:textAlignment w:val="baseline"/>
        <w:rPr>
          <w:rFonts w:cs="Times"/>
          <w:i/>
          <w:lang w:val="en-US" w:eastAsia="zh-CN"/>
        </w:rPr>
      </w:pPr>
      <w:r>
        <w:rPr>
          <w:rFonts w:hint="eastAsia"/>
          <w:b/>
          <w:i/>
        </w:rPr>
        <w:t>P</w:t>
      </w:r>
      <w:r>
        <w:rPr>
          <w:b/>
          <w:i/>
        </w:rPr>
        <w:t xml:space="preserve">roposal </w:t>
      </w:r>
      <w:r>
        <w:rPr>
          <w:rFonts w:hint="eastAsia"/>
          <w:b/>
          <w:i/>
          <w:lang w:val="en-US" w:eastAsia="zh-CN"/>
        </w:rPr>
        <w:t>5</w:t>
      </w:r>
      <w:r>
        <w:rPr>
          <w:b/>
          <w:i/>
        </w:rPr>
        <w:t>:</w:t>
      </w:r>
      <w:r>
        <w:rPr>
          <w:i/>
        </w:rPr>
        <w:t xml:space="preserve"> </w:t>
      </w:r>
      <w:r>
        <w:rPr>
          <w:rFonts w:hint="eastAsia"/>
          <w:i/>
          <w:lang w:val="en-US" w:eastAsia="zh-CN"/>
        </w:rPr>
        <w:t>The number of HARQ-ACK bits for each DCI format 1_3 that schedules multiple PDSCHs can be determined by M</w:t>
      </w:r>
      <w:r>
        <w:rPr>
          <w:rFonts w:eastAsia="Times New Roman" w:cs="Times"/>
          <w:i/>
          <w:lang w:eastAsia="ja-JP"/>
        </w:rPr>
        <w:t>, where</w:t>
      </w:r>
      <w:r>
        <w:rPr>
          <w:rFonts w:hint="eastAsia"/>
          <w:i/>
          <w:lang w:val="en-US" w:eastAsia="zh-CN"/>
        </w:rPr>
        <w:t xml:space="preserve"> </w:t>
      </w:r>
      <w:r>
        <w:rPr>
          <w:rFonts w:cs="Times"/>
          <w:i/>
          <w:snapToGrid w:val="0"/>
        </w:rPr>
        <w:t xml:space="preserve">M is the maximum number of </w:t>
      </w:r>
      <w:r>
        <w:rPr>
          <w:rFonts w:cs="Times" w:hint="eastAsia"/>
          <w:i/>
          <w:snapToGrid w:val="0"/>
          <w:lang w:val="en-US" w:eastAsia="zh-CN"/>
        </w:rPr>
        <w:t>PDSCH</w:t>
      </w:r>
      <w:r>
        <w:rPr>
          <w:rFonts w:cs="Times"/>
          <w:i/>
          <w:snapToGrid w:val="0"/>
        </w:rPr>
        <w:t>s which can be co-scheduled by a DCI format 1_</w:t>
      </w:r>
      <w:r>
        <w:rPr>
          <w:rFonts w:cs="Times" w:hint="eastAsia"/>
          <w:i/>
          <w:snapToGrid w:val="0"/>
          <w:lang w:val="en-US" w:eastAsia="zh-CN"/>
        </w:rPr>
        <w:t>3</w:t>
      </w:r>
      <w:r>
        <w:rPr>
          <w:rFonts w:cs="Times"/>
          <w:i/>
          <w:snapToGrid w:val="0"/>
        </w:rPr>
        <w:t xml:space="preserve"> in the PUCCH group for the UE</w:t>
      </w:r>
      <w:r>
        <w:rPr>
          <w:rFonts w:eastAsia="Times New Roman" w:cs="Times"/>
          <w:i/>
          <w:lang w:eastAsia="ja-JP"/>
        </w:rPr>
        <w:t>.</w:t>
      </w:r>
    </w:p>
    <w:p w:rsidR="00226FAD" w:rsidRDefault="0042112D">
      <w:pPr>
        <w:rPr>
          <w:i/>
          <w:lang w:val="en-US" w:eastAsia="zh-CN"/>
        </w:rPr>
      </w:pPr>
      <w:r>
        <w:rPr>
          <w:rFonts w:hint="eastAsia"/>
          <w:b/>
          <w:i/>
        </w:rPr>
        <w:t>P</w:t>
      </w:r>
      <w:r>
        <w:rPr>
          <w:b/>
          <w:i/>
        </w:rPr>
        <w:t xml:space="preserve">roposal </w:t>
      </w:r>
      <w:r>
        <w:rPr>
          <w:rFonts w:hint="eastAsia"/>
          <w:b/>
          <w:i/>
          <w:lang w:val="en-US" w:eastAsia="zh-CN"/>
        </w:rPr>
        <w:t>6</w:t>
      </w:r>
      <w:r>
        <w:rPr>
          <w:b/>
          <w:i/>
        </w:rPr>
        <w:t>:</w:t>
      </w:r>
      <w:r>
        <w:rPr>
          <w:i/>
        </w:rPr>
        <w:t xml:space="preserve"> </w:t>
      </w:r>
      <w:r>
        <w:rPr>
          <w:rFonts w:cs="Times" w:hint="eastAsia"/>
          <w:i/>
          <w:snapToGrid w:val="0"/>
          <w:lang w:val="en-US" w:eastAsia="zh-CN"/>
        </w:rPr>
        <w:t>T</w:t>
      </w:r>
      <w:r>
        <w:rPr>
          <w:rFonts w:cs="Times"/>
          <w:i/>
          <w:snapToGrid w:val="0"/>
        </w:rPr>
        <w:t>he HARQ-ACK bits for each DCI format 1_</w:t>
      </w:r>
      <w:r>
        <w:rPr>
          <w:rFonts w:cs="Times" w:hint="eastAsia"/>
          <w:i/>
          <w:snapToGrid w:val="0"/>
          <w:lang w:val="en-US" w:eastAsia="zh-CN"/>
        </w:rPr>
        <w:t>3</w:t>
      </w:r>
      <w:r>
        <w:rPr>
          <w:rFonts w:cs="Times"/>
          <w:i/>
          <w:snapToGrid w:val="0"/>
        </w:rPr>
        <w:t xml:space="preserve"> for the second sub-codebook should </w:t>
      </w:r>
      <w:r>
        <w:rPr>
          <w:rFonts w:cs="Times" w:hint="eastAsia"/>
          <w:i/>
          <w:snapToGrid w:val="0"/>
          <w:lang w:val="en-US" w:eastAsia="zh-CN"/>
        </w:rPr>
        <w:t xml:space="preserve">be </w:t>
      </w:r>
      <w:r>
        <w:rPr>
          <w:rFonts w:cs="Times"/>
          <w:i/>
          <w:snapToGrid w:val="0"/>
          <w:lang w:val="en-US" w:eastAsia="zh-CN"/>
        </w:rPr>
        <w:t xml:space="preserve">ordered first in ascending order of the PDSCH reception time, second </w:t>
      </w:r>
      <w:r>
        <w:rPr>
          <w:i/>
        </w:rPr>
        <w:t xml:space="preserve">in </w:t>
      </w:r>
      <w:r>
        <w:rPr>
          <w:i/>
          <w:lang w:eastAsia="zh-CN"/>
        </w:rPr>
        <w:t>ascending</w:t>
      </w:r>
      <w:r>
        <w:rPr>
          <w:i/>
        </w:rPr>
        <w:t xml:space="preserve"> order of</w:t>
      </w:r>
      <w:r>
        <w:rPr>
          <w:rFonts w:hint="eastAsia"/>
          <w:i/>
          <w:lang w:val="en-US" w:eastAsia="zh-CN"/>
        </w:rPr>
        <w:t xml:space="preserve"> cell index.</w:t>
      </w:r>
    </w:p>
    <w:p w:rsidR="00226FAD" w:rsidRDefault="0042112D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Maximum number of PUSCHs/PDSC</w:t>
      </w:r>
      <w:r>
        <w:rPr>
          <w:rFonts w:hint="eastAsia"/>
          <w:lang w:val="en-US" w:eastAsia="zh-CN"/>
        </w:rPr>
        <w:t>Hs</w:t>
      </w:r>
    </w:p>
    <w:p w:rsidR="00226FAD" w:rsidRDefault="0042112D">
      <w:pPr>
        <w:spacing w:beforeLines="50" w:before="120"/>
        <w:rPr>
          <w:lang w:val="en-US" w:eastAsia="zh-CN"/>
        </w:rPr>
      </w:pPr>
      <w:r>
        <w:rPr>
          <w:rFonts w:hint="eastAsia"/>
          <w:lang w:val="en-US" w:eastAsia="zh-CN"/>
        </w:rPr>
        <w:t>Based on the RAN#105 guidance, RAN1 will determine t</w:t>
      </w:r>
      <w:r>
        <w:rPr>
          <w:rFonts w:eastAsia="Yu Mincho"/>
          <w:lang w:val="en-US"/>
        </w:rPr>
        <w:t>he maximum number of PUSCHs/PDSCHs per scheduled cell</w:t>
      </w:r>
      <w:r>
        <w:rPr>
          <w:rFonts w:hint="eastAsia"/>
          <w:lang w:val="en-US" w:eastAsia="zh-CN"/>
        </w:rPr>
        <w:t>. The candidate value</w:t>
      </w:r>
      <w:r>
        <w:rPr>
          <w:rFonts w:eastAsia="Yu Mincho"/>
          <w:lang w:val="en-US"/>
        </w:rPr>
        <w:t xml:space="preserve"> is [4 or 8].</w:t>
      </w:r>
      <w:r>
        <w:rPr>
          <w:rFonts w:hint="eastAsia"/>
          <w:lang w:val="en-US" w:eastAsia="zh-CN"/>
        </w:rPr>
        <w:t xml:space="preserve"> Considering </w:t>
      </w:r>
      <w:r>
        <w:rPr>
          <w:lang w:val="en-US" w:eastAsia="zh-CN"/>
        </w:rPr>
        <w:t xml:space="preserve">that </w:t>
      </w:r>
      <w:r>
        <w:rPr>
          <w:rFonts w:hint="eastAsia"/>
          <w:lang w:val="en-US" w:eastAsia="zh-CN"/>
        </w:rPr>
        <w:t>t</w:t>
      </w:r>
      <w:r>
        <w:rPr>
          <w:rFonts w:eastAsia="Yu Mincho"/>
          <w:lang w:val="en-US"/>
        </w:rPr>
        <w:t>he maximum number of PUSCHs/PDSCHs per scheduled cell</w:t>
      </w:r>
      <w:r>
        <w:rPr>
          <w:rFonts w:hint="eastAsia"/>
          <w:lang w:val="en-US" w:eastAsia="zh-CN"/>
        </w:rPr>
        <w:t xml:space="preserve"> is 8 in Rel-17, it is preferred to suppor</w:t>
      </w:r>
      <w:r>
        <w:rPr>
          <w:rFonts w:hint="eastAsia"/>
          <w:lang w:val="en-US" w:eastAsia="zh-CN"/>
        </w:rPr>
        <w:t xml:space="preserve">t the same value in Rel-19. Since the size of second sub-codebook and/or the UE complexity will be </w:t>
      </w:r>
      <w:r>
        <w:rPr>
          <w:lang w:val="en-US" w:eastAsia="zh-CN"/>
        </w:rPr>
        <w:t>affected</w:t>
      </w:r>
      <w:r>
        <w:rPr>
          <w:rFonts w:hint="eastAsia"/>
          <w:lang w:val="en-US" w:eastAsia="zh-CN"/>
        </w:rPr>
        <w:t xml:space="preserve"> by the total number of PUSCHs/PDSCHs scheduled by</w:t>
      </w:r>
      <w:r>
        <w:rPr>
          <w:lang w:val="en-US" w:eastAsia="zh-CN"/>
        </w:rPr>
        <w:t xml:space="preserve"> DCI</w:t>
      </w:r>
      <w:r>
        <w:rPr>
          <w:rFonts w:hint="eastAsia"/>
          <w:lang w:val="en-US" w:eastAsia="zh-CN"/>
        </w:rPr>
        <w:t xml:space="preserve">, the maximum number of PUSCHs/PDSCHs scheduled per DCI can be predefined or configured if </w:t>
      </w:r>
      <w:r>
        <w:rPr>
          <w:rFonts w:hint="eastAsia"/>
          <w:lang w:val="en-US" w:eastAsia="zh-CN"/>
        </w:rPr>
        <w:t>needed.</w:t>
      </w:r>
    </w:p>
    <w:p w:rsidR="00226FAD" w:rsidRDefault="0042112D">
      <w:pPr>
        <w:spacing w:beforeLines="50" w:before="120"/>
        <w:rPr>
          <w:i/>
          <w:lang w:val="en-US" w:eastAsia="zh-CN"/>
        </w:rPr>
      </w:pPr>
      <w:r>
        <w:rPr>
          <w:rFonts w:hint="eastAsia"/>
          <w:b/>
          <w:i/>
        </w:rPr>
        <w:t>P</w:t>
      </w:r>
      <w:r>
        <w:rPr>
          <w:b/>
          <w:i/>
        </w:rPr>
        <w:t xml:space="preserve">roposal </w:t>
      </w:r>
      <w:r>
        <w:rPr>
          <w:rFonts w:hint="eastAsia"/>
          <w:b/>
          <w:i/>
          <w:lang w:val="en-US" w:eastAsia="zh-CN"/>
        </w:rPr>
        <w:t>7</w:t>
      </w:r>
      <w:r>
        <w:rPr>
          <w:b/>
          <w:i/>
        </w:rPr>
        <w:t>:</w:t>
      </w:r>
      <w:r>
        <w:rPr>
          <w:i/>
        </w:rPr>
        <w:t xml:space="preserve"> </w:t>
      </w:r>
      <w:r>
        <w:rPr>
          <w:rFonts w:hint="eastAsia"/>
          <w:i/>
          <w:lang w:val="en-US" w:eastAsia="zh-CN"/>
        </w:rPr>
        <w:t>T</w:t>
      </w:r>
      <w:r>
        <w:rPr>
          <w:rFonts w:eastAsia="Yu Mincho"/>
          <w:i/>
          <w:lang w:val="en-US"/>
        </w:rPr>
        <w:t>he maximum number of PUSCHs/PDSCHs per scheduled cell</w:t>
      </w:r>
      <w:r>
        <w:rPr>
          <w:rFonts w:hint="eastAsia"/>
          <w:i/>
          <w:lang w:val="en-US" w:eastAsia="zh-CN"/>
        </w:rPr>
        <w:t xml:space="preserve"> is 8.</w:t>
      </w:r>
    </w:p>
    <w:p w:rsidR="00226FAD" w:rsidRDefault="0042112D">
      <w:pPr>
        <w:spacing w:beforeLines="50" w:before="120"/>
        <w:rPr>
          <w:i/>
          <w:lang w:val="en-US" w:eastAsia="zh-CN"/>
        </w:rPr>
      </w:pPr>
      <w:r>
        <w:rPr>
          <w:rFonts w:hint="eastAsia"/>
          <w:b/>
          <w:i/>
        </w:rPr>
        <w:t>P</w:t>
      </w:r>
      <w:r>
        <w:rPr>
          <w:b/>
          <w:i/>
        </w:rPr>
        <w:t xml:space="preserve">roposal </w:t>
      </w:r>
      <w:r>
        <w:rPr>
          <w:rFonts w:hint="eastAsia"/>
          <w:b/>
          <w:i/>
          <w:lang w:val="en-US" w:eastAsia="zh-CN"/>
        </w:rPr>
        <w:t>8</w:t>
      </w:r>
      <w:r>
        <w:rPr>
          <w:b/>
          <w:i/>
        </w:rPr>
        <w:t>:</w:t>
      </w:r>
      <w:r>
        <w:rPr>
          <w:i/>
        </w:rPr>
        <w:t xml:space="preserve"> </w:t>
      </w:r>
      <w:r>
        <w:rPr>
          <w:rFonts w:hint="eastAsia"/>
          <w:i/>
          <w:lang w:val="en-US" w:eastAsia="zh-CN"/>
        </w:rPr>
        <w:t>T</w:t>
      </w:r>
      <w:r>
        <w:rPr>
          <w:rFonts w:eastAsia="Yu Mincho"/>
          <w:i/>
          <w:lang w:val="en-US"/>
        </w:rPr>
        <w:t xml:space="preserve">he maximum number of </w:t>
      </w:r>
      <w:r>
        <w:rPr>
          <w:rFonts w:hint="eastAsia"/>
          <w:i/>
          <w:lang w:val="en-US" w:eastAsia="zh-CN"/>
        </w:rPr>
        <w:t>PUSCHs/</w:t>
      </w:r>
      <w:r>
        <w:rPr>
          <w:rFonts w:eastAsia="Yu Mincho"/>
          <w:i/>
          <w:lang w:val="en-US"/>
        </w:rPr>
        <w:t xml:space="preserve">PDSCHs per </w:t>
      </w:r>
      <w:r>
        <w:rPr>
          <w:rFonts w:hint="eastAsia"/>
          <w:i/>
          <w:lang w:val="en-US" w:eastAsia="zh-CN"/>
        </w:rPr>
        <w:t>DCI</w:t>
      </w:r>
      <w:r>
        <w:rPr>
          <w:rFonts w:eastAsia="Yu Mincho"/>
          <w:i/>
          <w:lang w:val="en-US"/>
        </w:rPr>
        <w:t xml:space="preserve"> </w:t>
      </w:r>
      <w:r>
        <w:rPr>
          <w:rFonts w:hint="eastAsia"/>
          <w:i/>
          <w:lang w:val="en-US" w:eastAsia="zh-CN"/>
        </w:rPr>
        <w:t>can be predefined or configured if needed.</w:t>
      </w:r>
    </w:p>
    <w:p w:rsidR="00226FAD" w:rsidRDefault="00226FAD">
      <w:pPr>
        <w:rPr>
          <w:lang w:val="en-US" w:eastAsia="zh-CN"/>
        </w:rPr>
      </w:pPr>
    </w:p>
    <w:p w:rsidR="00226FAD" w:rsidRDefault="0042112D">
      <w:pPr>
        <w:pStyle w:val="1"/>
      </w:pPr>
      <w:r>
        <w:t>Conclusion</w:t>
      </w:r>
    </w:p>
    <w:p w:rsidR="00226FAD" w:rsidRDefault="0042112D">
      <w:pPr>
        <w:spacing w:beforeLines="50" w:before="120"/>
        <w:rPr>
          <w:iCs/>
          <w:lang w:val="en-US" w:eastAsia="zh-CN"/>
        </w:rPr>
      </w:pPr>
      <w:r>
        <w:rPr>
          <w:rFonts w:hint="eastAsia"/>
          <w:b/>
          <w:i/>
        </w:rPr>
        <w:t>P</w:t>
      </w:r>
      <w:r>
        <w:rPr>
          <w:b/>
          <w:i/>
        </w:rPr>
        <w:t xml:space="preserve">roposal </w:t>
      </w:r>
      <w:r>
        <w:rPr>
          <w:rFonts w:hint="eastAsia"/>
          <w:b/>
          <w:i/>
          <w:lang w:val="en-US" w:eastAsia="zh-CN"/>
        </w:rPr>
        <w:t>1</w:t>
      </w:r>
      <w:r>
        <w:rPr>
          <w:b/>
          <w:i/>
        </w:rPr>
        <w:t>:</w:t>
      </w:r>
      <w:r>
        <w:rPr>
          <w:i/>
        </w:rPr>
        <w:t xml:space="preserve"> </w:t>
      </w:r>
      <w:r>
        <w:rPr>
          <w:rFonts w:hint="eastAsia"/>
          <w:i/>
          <w:lang w:val="en-US" w:eastAsia="zh-CN"/>
        </w:rPr>
        <w:t>Multi-SLIV and independent NDI/RV are supported in D</w:t>
      </w:r>
      <w:r>
        <w:rPr>
          <w:rFonts w:hint="eastAsia"/>
          <w:i/>
          <w:lang w:val="en-US" w:eastAsia="zh-CN"/>
        </w:rPr>
        <w:t>CI format 0_3 and 1_3 for the scheduled cells configured with multi-PUSCH/PDSCH scheduling.</w:t>
      </w:r>
    </w:p>
    <w:p w:rsidR="00226FAD" w:rsidRDefault="0042112D">
      <w:pPr>
        <w:spacing w:beforeLines="50" w:before="120"/>
        <w:rPr>
          <w:i/>
          <w:iCs/>
          <w:lang w:val="en-US" w:eastAsia="zh-CN"/>
        </w:rPr>
      </w:pPr>
      <w:r>
        <w:rPr>
          <w:rFonts w:hint="eastAsia"/>
          <w:b/>
          <w:i/>
        </w:rPr>
        <w:t>P</w:t>
      </w:r>
      <w:r>
        <w:rPr>
          <w:b/>
          <w:i/>
        </w:rPr>
        <w:t xml:space="preserve">roposal </w:t>
      </w:r>
      <w:r>
        <w:rPr>
          <w:rFonts w:hint="eastAsia"/>
          <w:b/>
          <w:i/>
          <w:lang w:val="en-US" w:eastAsia="zh-CN"/>
        </w:rPr>
        <w:t>2</w:t>
      </w:r>
      <w:r>
        <w:rPr>
          <w:b/>
          <w:i/>
        </w:rPr>
        <w:t>:</w:t>
      </w:r>
      <w:r>
        <w:rPr>
          <w:i/>
        </w:rPr>
        <w:t xml:space="preserve"> </w:t>
      </w:r>
      <w:r>
        <w:rPr>
          <w:rFonts w:hint="eastAsia"/>
          <w:i/>
          <w:iCs/>
          <w:lang w:val="en-US" w:eastAsia="zh-CN"/>
        </w:rPr>
        <w:t xml:space="preserve">The principle of HARQ-ACK feedback </w:t>
      </w:r>
      <w:r>
        <w:rPr>
          <w:i/>
          <w:iCs/>
          <w:lang w:val="en-US" w:eastAsia="zh-CN"/>
        </w:rPr>
        <w:t xml:space="preserve">for Rel-18 multi-cell scheduling </w:t>
      </w:r>
      <w:r>
        <w:rPr>
          <w:rFonts w:hint="eastAsia"/>
          <w:i/>
          <w:iCs/>
          <w:lang w:val="en-US" w:eastAsia="zh-CN"/>
        </w:rPr>
        <w:t xml:space="preserve">should be reused for Rel-19 </w:t>
      </w:r>
      <w:r>
        <w:rPr>
          <w:rFonts w:cs="Times"/>
          <w:i/>
          <w:iCs/>
        </w:rPr>
        <w:t>multi-cell scheduling</w:t>
      </w:r>
      <w:r>
        <w:rPr>
          <w:rFonts w:hint="eastAsia"/>
          <w:i/>
          <w:iCs/>
          <w:lang w:val="en-US" w:eastAsia="zh-CN"/>
        </w:rPr>
        <w:t>.</w:t>
      </w:r>
    </w:p>
    <w:p w:rsidR="00226FAD" w:rsidRDefault="0042112D">
      <w:pPr>
        <w:pStyle w:val="af2"/>
        <w:numPr>
          <w:ilvl w:val="0"/>
          <w:numId w:val="14"/>
        </w:numPr>
        <w:kinsoku w:val="0"/>
        <w:overflowPunct w:val="0"/>
        <w:adjustRightInd w:val="0"/>
        <w:textAlignment w:val="baseline"/>
        <w:rPr>
          <w:rFonts w:eastAsia="Times New Roman" w:cs="Times"/>
          <w:i/>
          <w:iCs/>
          <w:lang w:eastAsia="ja-JP"/>
        </w:rPr>
      </w:pPr>
      <w:r>
        <w:rPr>
          <w:rFonts w:eastAsia="Times New Roman" w:cs="Times"/>
          <w:i/>
          <w:iCs/>
          <w:lang w:eastAsia="ja-JP"/>
        </w:rPr>
        <w:t>When UE detects a DCI format 1_</w:t>
      </w:r>
      <w:r>
        <w:rPr>
          <w:rFonts w:cs="Times" w:hint="eastAsia"/>
          <w:i/>
          <w:iCs/>
          <w:lang w:val="en-US" w:eastAsia="zh-CN"/>
        </w:rPr>
        <w:t>3</w:t>
      </w:r>
      <w:r>
        <w:rPr>
          <w:rFonts w:eastAsia="Times New Roman" w:cs="Times"/>
          <w:i/>
          <w:iCs/>
          <w:lang w:eastAsia="ja-JP"/>
        </w:rPr>
        <w:t xml:space="preserve"> scheduling a set of PDSCHs, the UE provides corresponding HARQ-ACK information in a PUCCH transmission within UL slot </w:t>
      </w:r>
      <m:oMath>
        <m:r>
          <w:rPr>
            <w:rFonts w:ascii="Cambria Math" w:eastAsia="Times New Roman" w:hAnsi="Cambria Math"/>
            <w:color w:val="000000"/>
            <w:lang w:val="zh-CN" w:eastAsia="ja-JP"/>
          </w:rPr>
          <m:t>n</m:t>
        </m:r>
        <m:r>
          <w:rPr>
            <w:rFonts w:ascii="Cambria Math" w:hAnsi="Cambria Math"/>
            <w:color w:val="000000"/>
            <w:lang w:val="en-US" w:eastAsia="zh-CN"/>
          </w:rPr>
          <m:t>+</m:t>
        </m:r>
        <m:r>
          <w:rPr>
            <w:rFonts w:ascii="Cambria Math" w:hAnsi="Cambria Math"/>
            <w:color w:val="000000"/>
            <w:lang w:val="en-US" w:eastAsia="zh-CN"/>
          </w:rPr>
          <m:t>k</m:t>
        </m:r>
      </m:oMath>
      <w:r>
        <w:rPr>
          <w:rFonts w:eastAsia="Times New Roman" w:cs="Times"/>
          <w:i/>
          <w:iCs/>
          <w:lang w:eastAsia="ja-JP"/>
        </w:rPr>
        <w:t xml:space="preserve">, where </w:t>
      </w:r>
      <m:oMath>
        <m:r>
          <w:rPr>
            <w:rFonts w:ascii="Cambria Math" w:hAnsi="Cambria Math"/>
            <w:color w:val="000000"/>
            <w:lang w:val="en-US" w:eastAsia="zh-CN"/>
          </w:rPr>
          <m:t>k</m:t>
        </m:r>
      </m:oMath>
      <w:r>
        <w:rPr>
          <w:rFonts w:eastAsia="Times New Roman" w:cs="Times"/>
          <w:i/>
          <w:iCs/>
          <w:lang w:eastAsia="ja-JP"/>
        </w:rPr>
        <w:t xml:space="preserve"> is a number of slots and is indicated by the PDSCH-to-HARQ_feedback timing indicator field in the DCI format and </w:t>
      </w:r>
      <m:oMath>
        <m:r>
          <w:rPr>
            <w:rFonts w:ascii="Cambria Math" w:eastAsia="Times New Roman" w:hAnsi="Cambria Math"/>
            <w:color w:val="000000"/>
            <w:lang w:val="zh-CN" w:eastAsia="ja-JP"/>
          </w:rPr>
          <m:t>n</m:t>
        </m:r>
      </m:oMath>
      <w:r>
        <w:rPr>
          <w:rFonts w:eastAsia="Times New Roman" w:cs="Times"/>
          <w:i/>
          <w:iCs/>
          <w:lang w:eastAsia="ja-JP"/>
        </w:rPr>
        <w:t xml:space="preserve"> is th</w:t>
      </w:r>
      <w:r>
        <w:rPr>
          <w:rFonts w:eastAsia="Times New Roman" w:cs="Times"/>
          <w:i/>
          <w:iCs/>
          <w:lang w:eastAsia="ja-JP"/>
        </w:rPr>
        <w:t xml:space="preserve">e last UL slot overlapping with the DL slot </w:t>
      </w:r>
      <m:oMath>
        <m:sSub>
          <m:sSubPr>
            <m:ctrlPr>
              <w:rPr>
                <w:rFonts w:ascii="Cambria Math" w:eastAsia="Malgun Gothic" w:hAnsi="Cambria Math" w:cs="Calibri"/>
                <w:i/>
                <w:iCs/>
                <w:color w:val="000000"/>
                <w:sz w:val="22"/>
                <w:lang w:eastAsia="ja-JP"/>
              </w:rPr>
            </m:ctrlPr>
          </m:sSubPr>
          <m:e>
            <m:r>
              <w:rPr>
                <w:rFonts w:ascii="Cambria Math" w:eastAsia="Times New Roman" w:hAnsi="Cambria Math"/>
                <w:color w:val="000000"/>
                <w:lang w:val="zh-CN" w:eastAsia="ja-JP"/>
              </w:rPr>
              <m:t>n</m:t>
            </m:r>
          </m:e>
          <m:sub>
            <m:r>
              <w:rPr>
                <w:rFonts w:ascii="Cambria Math" w:eastAsia="Times New Roman" w:hAnsi="Cambria Math"/>
                <w:color w:val="000000"/>
                <w:lang w:val="zh-CN" w:eastAsia="ja-JP"/>
              </w:rPr>
              <m:t>D</m:t>
            </m:r>
          </m:sub>
        </m:sSub>
      </m:oMath>
      <w:r>
        <w:rPr>
          <w:rFonts w:eastAsia="Times New Roman" w:cs="Times"/>
          <w:i/>
          <w:iCs/>
          <w:color w:val="000000"/>
          <w:lang w:eastAsia="ja-JP"/>
        </w:rPr>
        <w:t xml:space="preserve"> for the reference PDSCH </w:t>
      </w:r>
      <w:r>
        <w:rPr>
          <w:rFonts w:eastAsia="Times New Roman" w:cs="Times"/>
          <w:i/>
          <w:iCs/>
          <w:lang w:eastAsia="ja-JP"/>
        </w:rPr>
        <w:t xml:space="preserve">reception for slot-based PUCCH or an UL slot </w:t>
      </w:r>
      <w:r>
        <w:rPr>
          <w:rFonts w:cs="Times"/>
          <w:i/>
          <w:iCs/>
        </w:rPr>
        <w:t xml:space="preserve">overlapping with the end of the reference PDSCH reception in DL slot </w:t>
      </w:r>
      <m:oMath>
        <m:sSub>
          <m:sSubPr>
            <m:ctrlPr>
              <w:rPr>
                <w:rFonts w:ascii="Cambria Math" w:eastAsia="Malgun Gothic" w:hAnsi="Cambria Math" w:cs="Calibri"/>
                <w:i/>
                <w:iCs/>
                <w:color w:val="000000"/>
                <w:sz w:val="22"/>
                <w:lang w:eastAsia="ja-JP"/>
              </w:rPr>
            </m:ctrlPr>
          </m:sSubPr>
          <m:e>
            <m:r>
              <w:rPr>
                <w:rFonts w:ascii="Cambria Math" w:eastAsia="Times New Roman" w:hAnsi="Cambria Math"/>
                <w:color w:val="000000"/>
                <w:lang w:val="zh-CN" w:eastAsia="ja-JP"/>
              </w:rPr>
              <m:t>n</m:t>
            </m:r>
          </m:e>
          <m:sub>
            <m:r>
              <w:rPr>
                <w:rFonts w:ascii="Cambria Math" w:eastAsia="Times New Roman" w:hAnsi="Cambria Math"/>
                <w:color w:val="000000"/>
                <w:lang w:val="zh-CN" w:eastAsia="ja-JP"/>
              </w:rPr>
              <m:t>D</m:t>
            </m:r>
          </m:sub>
        </m:sSub>
      </m:oMath>
      <w:r>
        <w:rPr>
          <w:rFonts w:eastAsia="Times New Roman" w:cs="Times"/>
          <w:i/>
          <w:iCs/>
          <w:lang w:eastAsia="ja-JP"/>
        </w:rPr>
        <w:t xml:space="preserve"> for sub-slot based PUCCH.</w:t>
      </w:r>
    </w:p>
    <w:p w:rsidR="00226FAD" w:rsidRDefault="0042112D">
      <w:pPr>
        <w:pStyle w:val="af2"/>
        <w:numPr>
          <w:ilvl w:val="1"/>
          <w:numId w:val="14"/>
        </w:numPr>
        <w:kinsoku w:val="0"/>
        <w:overflowPunct w:val="0"/>
        <w:adjustRightInd w:val="0"/>
        <w:textAlignment w:val="baseline"/>
        <w:rPr>
          <w:rFonts w:eastAsia="Times New Roman" w:cs="Times"/>
          <w:i/>
          <w:iCs/>
          <w:lang w:eastAsia="ja-JP"/>
        </w:rPr>
      </w:pPr>
      <w:r>
        <w:rPr>
          <w:rFonts w:cs="Times" w:hint="eastAsia"/>
          <w:i/>
          <w:iCs/>
          <w:lang w:val="en-US" w:eastAsia="zh-CN"/>
        </w:rPr>
        <w:t>T</w:t>
      </w:r>
      <w:r>
        <w:rPr>
          <w:rFonts w:cs="Times"/>
          <w:i/>
          <w:iCs/>
        </w:rPr>
        <w:t>he reference PDSCH is the PDSCH endin</w:t>
      </w:r>
      <w:r>
        <w:rPr>
          <w:rFonts w:cs="Times"/>
          <w:i/>
          <w:iCs/>
        </w:rPr>
        <w:t>g last as indicated in the DCI format 1_</w:t>
      </w:r>
      <w:r>
        <w:rPr>
          <w:rFonts w:cs="Times" w:hint="eastAsia"/>
          <w:i/>
          <w:iCs/>
          <w:lang w:val="en-US" w:eastAsia="zh-CN"/>
        </w:rPr>
        <w:t>3</w:t>
      </w:r>
      <w:r>
        <w:rPr>
          <w:rFonts w:cs="Times"/>
          <w:i/>
          <w:iCs/>
        </w:rPr>
        <w:t xml:space="preserve"> among the set of co-scheduled PDSCHs.</w:t>
      </w:r>
    </w:p>
    <w:p w:rsidR="00226FAD" w:rsidRDefault="0042112D">
      <w:pPr>
        <w:pStyle w:val="af2"/>
        <w:numPr>
          <w:ilvl w:val="0"/>
          <w:numId w:val="14"/>
        </w:numPr>
        <w:kinsoku w:val="0"/>
        <w:overflowPunct w:val="0"/>
        <w:adjustRightInd w:val="0"/>
        <w:textAlignment w:val="baseline"/>
        <w:rPr>
          <w:rFonts w:eastAsia="Times New Roman" w:cs="Times"/>
          <w:i/>
          <w:iCs/>
          <w:lang w:eastAsia="ja-JP"/>
        </w:rPr>
      </w:pPr>
      <w:r>
        <w:rPr>
          <w:rFonts w:cs="Times"/>
          <w:i/>
          <w:iCs/>
        </w:rPr>
        <w:t>For Type-2 HARQ-ACK codebook, for a set of cells which is co-scheduled by a DCI format 1_</w:t>
      </w:r>
      <w:r>
        <w:rPr>
          <w:rFonts w:cs="Times" w:hint="eastAsia"/>
          <w:i/>
          <w:iCs/>
          <w:lang w:val="en-US" w:eastAsia="zh-CN"/>
        </w:rPr>
        <w:t>3</w:t>
      </w:r>
      <w:r>
        <w:rPr>
          <w:rFonts w:cs="Times"/>
          <w:i/>
          <w:iCs/>
        </w:rPr>
        <w:t>, the reference PDSCH to determine DAI counting is the PDSCH with smallest serving cel</w:t>
      </w:r>
      <w:r>
        <w:rPr>
          <w:rFonts w:cs="Times"/>
          <w:i/>
          <w:iCs/>
        </w:rPr>
        <w:t>l index among the set of co-scheduled cells.</w:t>
      </w:r>
    </w:p>
    <w:p w:rsidR="00226FAD" w:rsidRDefault="0042112D">
      <w:pPr>
        <w:kinsoku w:val="0"/>
        <w:overflowPunct w:val="0"/>
        <w:adjustRightInd w:val="0"/>
        <w:spacing w:beforeLines="50" w:before="120"/>
        <w:textAlignment w:val="baseline"/>
        <w:rPr>
          <w:rFonts w:cs="Times"/>
          <w:i/>
          <w:iCs/>
          <w:lang w:val="en-US" w:eastAsia="zh-CN"/>
        </w:rPr>
      </w:pPr>
      <w:r>
        <w:rPr>
          <w:rFonts w:hint="eastAsia"/>
          <w:b/>
          <w:i/>
        </w:rPr>
        <w:t>P</w:t>
      </w:r>
      <w:r>
        <w:rPr>
          <w:b/>
          <w:i/>
        </w:rPr>
        <w:t xml:space="preserve">roposal </w:t>
      </w:r>
      <w:r>
        <w:rPr>
          <w:rFonts w:hint="eastAsia"/>
          <w:b/>
          <w:i/>
          <w:lang w:val="en-US" w:eastAsia="zh-CN"/>
        </w:rPr>
        <w:t>3</w:t>
      </w:r>
      <w:r>
        <w:rPr>
          <w:b/>
          <w:i/>
        </w:rPr>
        <w:t>:</w:t>
      </w:r>
      <w:r>
        <w:rPr>
          <w:i/>
        </w:rPr>
        <w:t xml:space="preserve"> For </w:t>
      </w:r>
      <w:r>
        <w:rPr>
          <w:rFonts w:cs="Times"/>
          <w:i/>
          <w:iCs/>
        </w:rPr>
        <w:t xml:space="preserve">Type-1 HARQ-ACK codebook for </w:t>
      </w:r>
      <w:r>
        <w:rPr>
          <w:rFonts w:cs="Times" w:hint="eastAsia"/>
          <w:i/>
          <w:iCs/>
          <w:lang w:val="en-US" w:eastAsia="zh-CN"/>
        </w:rPr>
        <w:t xml:space="preserve">Rel-19 </w:t>
      </w:r>
      <w:r>
        <w:rPr>
          <w:rFonts w:cs="Times"/>
          <w:i/>
          <w:iCs/>
        </w:rPr>
        <w:t>multi-cell scheduling, UE expects HARQ-ACK information for all co-scheduled PDSCHs by DCI format 1_</w:t>
      </w:r>
      <w:r>
        <w:rPr>
          <w:rFonts w:cs="Times" w:hint="eastAsia"/>
          <w:i/>
          <w:iCs/>
          <w:lang w:val="en-US" w:eastAsia="zh-CN"/>
        </w:rPr>
        <w:t>3</w:t>
      </w:r>
      <w:r>
        <w:rPr>
          <w:rFonts w:cs="Times"/>
          <w:i/>
          <w:iCs/>
        </w:rPr>
        <w:t xml:space="preserve"> can be mapped in the Type-1 HARQ-ACK codebook.</w:t>
      </w:r>
    </w:p>
    <w:p w:rsidR="00226FAD" w:rsidRDefault="0042112D">
      <w:pPr>
        <w:pStyle w:val="af2"/>
        <w:kinsoku w:val="0"/>
        <w:overflowPunct w:val="0"/>
        <w:adjustRightInd w:val="0"/>
        <w:ind w:left="0"/>
        <w:textAlignment w:val="baseline"/>
        <w:rPr>
          <w:rFonts w:cs="Times"/>
          <w:i/>
          <w:iCs/>
          <w:lang w:val="en-US" w:eastAsia="zh-CN"/>
        </w:rPr>
      </w:pPr>
      <w:r>
        <w:rPr>
          <w:rFonts w:hint="eastAsia"/>
          <w:b/>
          <w:i/>
        </w:rPr>
        <w:t>P</w:t>
      </w:r>
      <w:r>
        <w:rPr>
          <w:b/>
          <w:i/>
        </w:rPr>
        <w:t xml:space="preserve">roposal </w:t>
      </w:r>
      <w:r>
        <w:rPr>
          <w:rFonts w:hint="eastAsia"/>
          <w:b/>
          <w:i/>
          <w:lang w:val="en-US" w:eastAsia="zh-CN"/>
        </w:rPr>
        <w:t>4</w:t>
      </w:r>
      <w:r>
        <w:rPr>
          <w:b/>
          <w:i/>
        </w:rPr>
        <w:t>:</w:t>
      </w:r>
      <w:r>
        <w:rPr>
          <w:i/>
        </w:rPr>
        <w:t xml:space="preserve"> </w:t>
      </w:r>
      <w:r>
        <w:rPr>
          <w:rFonts w:eastAsia="楷体" w:cs="Times"/>
          <w:i/>
          <w:iCs/>
          <w:lang w:eastAsia="zh-CN"/>
        </w:rPr>
        <w:t xml:space="preserve">For Type-2 HARQ-ACK codebook, </w:t>
      </w:r>
      <w:r>
        <w:rPr>
          <w:i/>
          <w:iCs/>
          <w:lang w:val="en-US" w:eastAsia="zh-CN"/>
        </w:rPr>
        <w:t>two sub-codebooks</w:t>
      </w:r>
      <w:r>
        <w:rPr>
          <w:rFonts w:hint="eastAsia"/>
          <w:i/>
          <w:iCs/>
          <w:lang w:val="en-US" w:eastAsia="zh-CN"/>
        </w:rPr>
        <w:t xml:space="preserve"> are generated </w:t>
      </w:r>
      <w:r>
        <w:rPr>
          <w:i/>
          <w:iCs/>
          <w:lang w:val="en-US" w:eastAsia="zh-CN"/>
        </w:rPr>
        <w:t xml:space="preserve">with a first sub-codebook comprising HARQ-ACK information bits for PDSCH(s) scheduled by DCI(s) with each scheduling a </w:t>
      </w:r>
      <w:r>
        <w:rPr>
          <w:rFonts w:hint="eastAsia"/>
          <w:i/>
          <w:iCs/>
          <w:lang w:val="en-US" w:eastAsia="zh-CN"/>
        </w:rPr>
        <w:t xml:space="preserve">single PDSCH </w:t>
      </w:r>
      <w:r>
        <w:rPr>
          <w:i/>
          <w:iCs/>
          <w:lang w:val="en-US" w:eastAsia="zh-CN"/>
        </w:rPr>
        <w:t xml:space="preserve">and a second sub-codebook comprising HARQ-ACK information bits for PDSCH(s) scheduled by DCI(s) with each </w:t>
      </w:r>
      <w:r>
        <w:rPr>
          <w:rFonts w:cs="Times"/>
          <w:i/>
          <w:iCs/>
          <w:lang w:val="en-US" w:eastAsia="zh-CN"/>
        </w:rPr>
        <w:t xml:space="preserve">scheduling </w:t>
      </w:r>
      <w:r>
        <w:rPr>
          <w:rFonts w:cs="Times" w:hint="eastAsia"/>
          <w:i/>
          <w:iCs/>
          <w:lang w:val="en-US" w:eastAsia="zh-CN"/>
        </w:rPr>
        <w:t>multiple PDSCHs.</w:t>
      </w:r>
    </w:p>
    <w:p w:rsidR="00226FAD" w:rsidRDefault="0042112D">
      <w:pPr>
        <w:pStyle w:val="af2"/>
        <w:numPr>
          <w:ilvl w:val="0"/>
          <w:numId w:val="14"/>
        </w:numPr>
        <w:kinsoku w:val="0"/>
        <w:overflowPunct w:val="0"/>
        <w:adjustRightInd w:val="0"/>
        <w:textAlignment w:val="baseline"/>
        <w:rPr>
          <w:rFonts w:cs="Times"/>
          <w:i/>
          <w:iCs/>
          <w:lang w:val="en-US" w:eastAsia="zh-CN"/>
        </w:rPr>
      </w:pPr>
      <w:r>
        <w:rPr>
          <w:rFonts w:cs="Times"/>
          <w:i/>
          <w:iCs/>
          <w:lang w:eastAsia="ja-JP"/>
        </w:rPr>
        <w:lastRenderedPageBreak/>
        <w:t>Separate DAI counting for two sub-codebooks.</w:t>
      </w:r>
    </w:p>
    <w:p w:rsidR="00226FAD" w:rsidRDefault="0042112D">
      <w:pPr>
        <w:pStyle w:val="af2"/>
        <w:kinsoku w:val="0"/>
        <w:overflowPunct w:val="0"/>
        <w:adjustRightInd w:val="0"/>
        <w:ind w:left="0"/>
        <w:textAlignment w:val="baseline"/>
        <w:rPr>
          <w:rFonts w:cs="Times"/>
          <w:i/>
          <w:lang w:val="en-US" w:eastAsia="zh-CN"/>
        </w:rPr>
      </w:pPr>
      <w:r>
        <w:rPr>
          <w:rFonts w:hint="eastAsia"/>
          <w:b/>
          <w:i/>
        </w:rPr>
        <w:t>P</w:t>
      </w:r>
      <w:r>
        <w:rPr>
          <w:b/>
          <w:i/>
        </w:rPr>
        <w:t xml:space="preserve">roposal </w:t>
      </w:r>
      <w:r>
        <w:rPr>
          <w:rFonts w:hint="eastAsia"/>
          <w:b/>
          <w:i/>
          <w:lang w:val="en-US" w:eastAsia="zh-CN"/>
        </w:rPr>
        <w:t>5</w:t>
      </w:r>
      <w:r>
        <w:rPr>
          <w:b/>
          <w:i/>
        </w:rPr>
        <w:t>:</w:t>
      </w:r>
      <w:r>
        <w:rPr>
          <w:i/>
        </w:rPr>
        <w:t xml:space="preserve"> </w:t>
      </w:r>
      <w:r>
        <w:rPr>
          <w:rFonts w:hint="eastAsia"/>
          <w:i/>
          <w:lang w:val="en-US" w:eastAsia="zh-CN"/>
        </w:rPr>
        <w:t>The number of HARQ-ACK bits for each DCI format 1_3 that schedule</w:t>
      </w:r>
      <w:r>
        <w:rPr>
          <w:rFonts w:hint="eastAsia"/>
          <w:i/>
          <w:lang w:val="en-US" w:eastAsia="zh-CN"/>
        </w:rPr>
        <w:t>s multiple PDSCHs can be determined by M</w:t>
      </w:r>
      <w:r>
        <w:rPr>
          <w:rFonts w:eastAsia="Times New Roman" w:cs="Times"/>
          <w:i/>
          <w:lang w:eastAsia="ja-JP"/>
        </w:rPr>
        <w:t>, where</w:t>
      </w:r>
      <w:r>
        <w:rPr>
          <w:rFonts w:hint="eastAsia"/>
          <w:i/>
          <w:lang w:val="en-US" w:eastAsia="zh-CN"/>
        </w:rPr>
        <w:t xml:space="preserve"> </w:t>
      </w:r>
      <w:r>
        <w:rPr>
          <w:rFonts w:cs="Times"/>
          <w:i/>
          <w:snapToGrid w:val="0"/>
        </w:rPr>
        <w:t xml:space="preserve">M is the maximum number of </w:t>
      </w:r>
      <w:r>
        <w:rPr>
          <w:rFonts w:cs="Times" w:hint="eastAsia"/>
          <w:i/>
          <w:snapToGrid w:val="0"/>
          <w:lang w:val="en-US" w:eastAsia="zh-CN"/>
        </w:rPr>
        <w:t>PDSCH</w:t>
      </w:r>
      <w:r>
        <w:rPr>
          <w:rFonts w:cs="Times"/>
          <w:i/>
          <w:snapToGrid w:val="0"/>
        </w:rPr>
        <w:t>s which can be co-scheduled by a DCI format 1_</w:t>
      </w:r>
      <w:r>
        <w:rPr>
          <w:rFonts w:cs="Times" w:hint="eastAsia"/>
          <w:i/>
          <w:snapToGrid w:val="0"/>
          <w:lang w:val="en-US" w:eastAsia="zh-CN"/>
        </w:rPr>
        <w:t>3</w:t>
      </w:r>
      <w:r>
        <w:rPr>
          <w:rFonts w:cs="Times"/>
          <w:i/>
          <w:snapToGrid w:val="0"/>
        </w:rPr>
        <w:t xml:space="preserve"> in the PUCCH group for the UE</w:t>
      </w:r>
      <w:r>
        <w:rPr>
          <w:rFonts w:eastAsia="Times New Roman" w:cs="Times"/>
          <w:i/>
          <w:lang w:eastAsia="ja-JP"/>
        </w:rPr>
        <w:t>.</w:t>
      </w:r>
    </w:p>
    <w:p w:rsidR="00226FAD" w:rsidRDefault="0042112D">
      <w:pPr>
        <w:rPr>
          <w:i/>
          <w:lang w:val="en-US" w:eastAsia="zh-CN"/>
        </w:rPr>
      </w:pPr>
      <w:r>
        <w:rPr>
          <w:rFonts w:hint="eastAsia"/>
          <w:b/>
          <w:i/>
        </w:rPr>
        <w:t>P</w:t>
      </w:r>
      <w:r>
        <w:rPr>
          <w:b/>
          <w:i/>
        </w:rPr>
        <w:t xml:space="preserve">roposal </w:t>
      </w:r>
      <w:r>
        <w:rPr>
          <w:rFonts w:hint="eastAsia"/>
          <w:b/>
          <w:i/>
          <w:lang w:val="en-US" w:eastAsia="zh-CN"/>
        </w:rPr>
        <w:t>6</w:t>
      </w:r>
      <w:r>
        <w:rPr>
          <w:b/>
          <w:i/>
        </w:rPr>
        <w:t>:</w:t>
      </w:r>
      <w:r>
        <w:rPr>
          <w:i/>
        </w:rPr>
        <w:t xml:space="preserve"> </w:t>
      </w:r>
      <w:r>
        <w:rPr>
          <w:rFonts w:cs="Times" w:hint="eastAsia"/>
          <w:i/>
          <w:snapToGrid w:val="0"/>
          <w:lang w:val="en-US" w:eastAsia="zh-CN"/>
        </w:rPr>
        <w:t>T</w:t>
      </w:r>
      <w:r>
        <w:rPr>
          <w:rFonts w:cs="Times"/>
          <w:i/>
          <w:snapToGrid w:val="0"/>
        </w:rPr>
        <w:t>he HARQ-ACK bits for each DCI format 1_</w:t>
      </w:r>
      <w:r>
        <w:rPr>
          <w:rFonts w:cs="Times" w:hint="eastAsia"/>
          <w:i/>
          <w:snapToGrid w:val="0"/>
          <w:lang w:val="en-US" w:eastAsia="zh-CN"/>
        </w:rPr>
        <w:t>3</w:t>
      </w:r>
      <w:r>
        <w:rPr>
          <w:rFonts w:cs="Times"/>
          <w:i/>
          <w:snapToGrid w:val="0"/>
        </w:rPr>
        <w:t xml:space="preserve"> for the second sub-codebook </w:t>
      </w:r>
      <w:r>
        <w:rPr>
          <w:rFonts w:cs="Times"/>
          <w:i/>
          <w:snapToGrid w:val="0"/>
          <w:lang w:val="en-US" w:eastAsia="zh-CN"/>
        </w:rPr>
        <w:t>should</w:t>
      </w:r>
      <w:r>
        <w:rPr>
          <w:rFonts w:cs="Times" w:hint="eastAsia"/>
          <w:i/>
          <w:snapToGrid w:val="0"/>
          <w:lang w:val="en-US" w:eastAsia="zh-CN"/>
        </w:rPr>
        <w:t xml:space="preserve"> be </w:t>
      </w:r>
      <w:r>
        <w:rPr>
          <w:rFonts w:cs="Times"/>
          <w:i/>
          <w:snapToGrid w:val="0"/>
          <w:lang w:val="en-US" w:eastAsia="zh-CN"/>
        </w:rPr>
        <w:t>order</w:t>
      </w:r>
      <w:r>
        <w:rPr>
          <w:rFonts w:cs="Times"/>
          <w:i/>
          <w:snapToGrid w:val="0"/>
          <w:lang w:val="en-US" w:eastAsia="zh-CN"/>
        </w:rPr>
        <w:t xml:space="preserve">ed first in ascending order of the PDSCH reception time, second </w:t>
      </w:r>
      <w:r>
        <w:rPr>
          <w:i/>
        </w:rPr>
        <w:t xml:space="preserve">in </w:t>
      </w:r>
      <w:r>
        <w:rPr>
          <w:i/>
          <w:lang w:eastAsia="zh-CN"/>
        </w:rPr>
        <w:t>ascending</w:t>
      </w:r>
      <w:r>
        <w:rPr>
          <w:i/>
        </w:rPr>
        <w:t xml:space="preserve"> order of</w:t>
      </w:r>
      <w:r>
        <w:rPr>
          <w:rFonts w:hint="eastAsia"/>
          <w:i/>
          <w:lang w:val="en-US" w:eastAsia="zh-CN"/>
        </w:rPr>
        <w:t xml:space="preserve"> cell index.</w:t>
      </w:r>
    </w:p>
    <w:p w:rsidR="00226FAD" w:rsidRDefault="0042112D">
      <w:pPr>
        <w:spacing w:beforeLines="50" w:before="120"/>
        <w:rPr>
          <w:i/>
          <w:lang w:val="en-US" w:eastAsia="zh-CN"/>
        </w:rPr>
      </w:pPr>
      <w:r>
        <w:rPr>
          <w:rFonts w:hint="eastAsia"/>
          <w:b/>
          <w:i/>
        </w:rPr>
        <w:t>P</w:t>
      </w:r>
      <w:r>
        <w:rPr>
          <w:b/>
          <w:i/>
        </w:rPr>
        <w:t xml:space="preserve">roposal </w:t>
      </w:r>
      <w:r>
        <w:rPr>
          <w:rFonts w:hint="eastAsia"/>
          <w:b/>
          <w:i/>
          <w:lang w:val="en-US" w:eastAsia="zh-CN"/>
        </w:rPr>
        <w:t>7</w:t>
      </w:r>
      <w:r>
        <w:rPr>
          <w:b/>
          <w:i/>
        </w:rPr>
        <w:t>:</w:t>
      </w:r>
      <w:r>
        <w:rPr>
          <w:i/>
        </w:rPr>
        <w:t xml:space="preserve"> </w:t>
      </w:r>
      <w:r>
        <w:rPr>
          <w:rFonts w:hint="eastAsia"/>
          <w:i/>
          <w:lang w:val="en-US" w:eastAsia="zh-CN"/>
        </w:rPr>
        <w:t>T</w:t>
      </w:r>
      <w:r>
        <w:rPr>
          <w:rFonts w:eastAsia="Yu Mincho"/>
          <w:i/>
          <w:lang w:val="en-US"/>
        </w:rPr>
        <w:t>he maximum number of PUSCHs/PDSCHs per scheduled cell</w:t>
      </w:r>
      <w:r>
        <w:rPr>
          <w:rFonts w:hint="eastAsia"/>
          <w:i/>
          <w:lang w:val="en-US" w:eastAsia="zh-CN"/>
        </w:rPr>
        <w:t xml:space="preserve"> is 8.</w:t>
      </w:r>
    </w:p>
    <w:p w:rsidR="00226FAD" w:rsidRDefault="0042112D">
      <w:pPr>
        <w:spacing w:beforeLines="50" w:before="120"/>
        <w:rPr>
          <w:i/>
          <w:lang w:val="en-US" w:eastAsia="zh-CN"/>
        </w:rPr>
      </w:pPr>
      <w:r>
        <w:rPr>
          <w:rFonts w:hint="eastAsia"/>
          <w:b/>
          <w:i/>
        </w:rPr>
        <w:t>P</w:t>
      </w:r>
      <w:r>
        <w:rPr>
          <w:b/>
          <w:i/>
        </w:rPr>
        <w:t xml:space="preserve">roposal </w:t>
      </w:r>
      <w:r>
        <w:rPr>
          <w:rFonts w:hint="eastAsia"/>
          <w:b/>
          <w:i/>
          <w:lang w:val="en-US" w:eastAsia="zh-CN"/>
        </w:rPr>
        <w:t>8</w:t>
      </w:r>
      <w:r>
        <w:rPr>
          <w:b/>
          <w:i/>
        </w:rPr>
        <w:t>:</w:t>
      </w:r>
      <w:r>
        <w:rPr>
          <w:i/>
        </w:rPr>
        <w:t xml:space="preserve"> </w:t>
      </w:r>
      <w:r>
        <w:rPr>
          <w:rFonts w:hint="eastAsia"/>
          <w:i/>
          <w:lang w:val="en-US" w:eastAsia="zh-CN"/>
        </w:rPr>
        <w:t>T</w:t>
      </w:r>
      <w:r>
        <w:rPr>
          <w:rFonts w:eastAsia="Yu Mincho"/>
          <w:i/>
          <w:lang w:val="en-US"/>
        </w:rPr>
        <w:t xml:space="preserve">he maximum number of </w:t>
      </w:r>
      <w:r>
        <w:rPr>
          <w:rFonts w:hint="eastAsia"/>
          <w:i/>
          <w:lang w:val="en-US" w:eastAsia="zh-CN"/>
        </w:rPr>
        <w:t>PUSCHs/</w:t>
      </w:r>
      <w:r>
        <w:rPr>
          <w:rFonts w:eastAsia="Yu Mincho"/>
          <w:i/>
          <w:lang w:val="en-US"/>
        </w:rPr>
        <w:t xml:space="preserve">PDSCHs per </w:t>
      </w:r>
      <w:r>
        <w:rPr>
          <w:rFonts w:hint="eastAsia"/>
          <w:i/>
          <w:lang w:val="en-US" w:eastAsia="zh-CN"/>
        </w:rPr>
        <w:t>DCI</w:t>
      </w:r>
      <w:r>
        <w:rPr>
          <w:rFonts w:eastAsia="Yu Mincho"/>
          <w:i/>
          <w:lang w:val="en-US"/>
        </w:rPr>
        <w:t xml:space="preserve"> </w:t>
      </w:r>
      <w:r>
        <w:rPr>
          <w:rFonts w:hint="eastAsia"/>
          <w:i/>
          <w:lang w:val="en-US" w:eastAsia="zh-CN"/>
        </w:rPr>
        <w:t xml:space="preserve">can be predefined or </w:t>
      </w:r>
      <w:r>
        <w:rPr>
          <w:rFonts w:hint="eastAsia"/>
          <w:i/>
          <w:lang w:val="en-US" w:eastAsia="zh-CN"/>
        </w:rPr>
        <w:t>configured if needed.</w:t>
      </w:r>
    </w:p>
    <w:p w:rsidR="00226FAD" w:rsidRDefault="00226FAD">
      <w:pPr>
        <w:spacing w:beforeLines="50" w:before="120"/>
        <w:rPr>
          <w:rFonts w:eastAsia="Malgun Gothic"/>
          <w:bCs/>
          <w:i/>
          <w:iCs/>
          <w:lang w:val="en-US" w:eastAsia="zh-CN"/>
        </w:rPr>
      </w:pPr>
    </w:p>
    <w:p w:rsidR="00226FAD" w:rsidRDefault="0042112D">
      <w:pPr>
        <w:pStyle w:val="1"/>
      </w:pPr>
      <w:r>
        <w:rPr>
          <w:rFonts w:hint="eastAsia"/>
          <w:lang w:val="en-US" w:eastAsia="zh-CN"/>
        </w:rPr>
        <w:t>Reference</w:t>
      </w:r>
    </w:p>
    <w:p w:rsidR="00226FAD" w:rsidRDefault="0042112D">
      <w:pPr>
        <w:pStyle w:val="af2"/>
        <w:ind w:left="0"/>
        <w:rPr>
          <w:lang w:val="en-US" w:eastAsia="zh-CN"/>
        </w:rPr>
      </w:pPr>
      <w:r>
        <w:rPr>
          <w:rFonts w:eastAsia="Malgun Gothic" w:hint="eastAsia"/>
          <w:bCs/>
          <w:iCs/>
          <w:lang w:val="en-US" w:eastAsia="zh-CN"/>
        </w:rPr>
        <w:t xml:space="preserve">[1] </w:t>
      </w:r>
      <w:r>
        <w:rPr>
          <w:lang w:val="en-US"/>
        </w:rPr>
        <w:t>RAN#</w:t>
      </w:r>
      <w:r>
        <w:rPr>
          <w:rFonts w:hint="eastAsia"/>
          <w:lang w:val="en-US" w:eastAsia="zh-CN"/>
        </w:rPr>
        <w:t>105</w:t>
      </w:r>
      <w:r>
        <w:rPr>
          <w:lang w:val="en-US"/>
        </w:rPr>
        <w:t xml:space="preserve">, </w:t>
      </w:r>
      <w:r>
        <w:rPr>
          <w:rFonts w:eastAsia="Malgun Gothic" w:hint="eastAsia"/>
          <w:bCs/>
          <w:iCs/>
          <w:lang w:val="en-US" w:eastAsia="zh-CN"/>
        </w:rPr>
        <w:t>RP-2</w:t>
      </w:r>
      <w:r>
        <w:rPr>
          <w:rFonts w:hint="eastAsia"/>
          <w:lang w:val="en-US" w:eastAsia="zh-CN"/>
        </w:rPr>
        <w:t xml:space="preserve">42408, </w:t>
      </w:r>
      <w:r>
        <w:rPr>
          <w:lang w:val="en-US" w:eastAsia="zh-CN"/>
        </w:rPr>
        <w:t>New WID:</w:t>
      </w:r>
      <w:r>
        <w:rPr>
          <w:lang w:val="en-US"/>
        </w:rPr>
        <w:t xml:space="preserve"> </w:t>
      </w:r>
      <w:r>
        <w:rPr>
          <w:lang w:val="en-US" w:eastAsia="zh-CN"/>
        </w:rPr>
        <w:t>Multi-carrier enhancements for NR Phase 2</w:t>
      </w:r>
      <w:r>
        <w:rPr>
          <w:rFonts w:hint="eastAsia"/>
          <w:lang w:val="en-US" w:eastAsia="zh-CN"/>
        </w:rPr>
        <w:t>,</w:t>
      </w:r>
      <w:r>
        <w:rPr>
          <w:rFonts w:hint="eastAsia"/>
          <w:lang w:val="en-US"/>
        </w:rPr>
        <w:t xml:space="preserve"> </w:t>
      </w:r>
      <w:r>
        <w:rPr>
          <w:lang w:val="en-US" w:eastAsia="zh-CN"/>
        </w:rPr>
        <w:t>Lenovo</w:t>
      </w:r>
    </w:p>
    <w:p w:rsidR="00226FAD" w:rsidRDefault="0042112D">
      <w:pPr>
        <w:pStyle w:val="af2"/>
        <w:ind w:left="0"/>
        <w:rPr>
          <w:lang w:val="en-US" w:eastAsia="zh-CN"/>
        </w:rPr>
      </w:pPr>
      <w:r>
        <w:rPr>
          <w:rFonts w:eastAsia="Malgun Gothic" w:hint="eastAsia"/>
          <w:bCs/>
          <w:iCs/>
          <w:lang w:val="en-US" w:eastAsia="zh-CN"/>
        </w:rPr>
        <w:t xml:space="preserve">[2] </w:t>
      </w:r>
      <w:r>
        <w:rPr>
          <w:lang w:val="en-US"/>
        </w:rPr>
        <w:t>RAN#</w:t>
      </w:r>
      <w:r>
        <w:rPr>
          <w:rFonts w:hint="eastAsia"/>
          <w:lang w:val="en-US" w:eastAsia="zh-CN"/>
        </w:rPr>
        <w:t>105</w:t>
      </w:r>
      <w:r>
        <w:rPr>
          <w:lang w:val="en-US"/>
        </w:rPr>
        <w:t xml:space="preserve">, </w:t>
      </w:r>
      <w:r>
        <w:rPr>
          <w:rFonts w:eastAsia="Malgun Gothic" w:hint="eastAsia"/>
          <w:bCs/>
          <w:iCs/>
          <w:lang w:val="en-US" w:eastAsia="zh-CN"/>
        </w:rPr>
        <w:t>RP-2</w:t>
      </w:r>
      <w:r>
        <w:rPr>
          <w:rFonts w:hint="eastAsia"/>
          <w:lang w:val="en-US" w:eastAsia="zh-CN"/>
        </w:rPr>
        <w:t xml:space="preserve">42379, </w:t>
      </w:r>
      <w:r>
        <w:rPr>
          <w:lang w:val="en-US" w:eastAsia="zh-CN"/>
        </w:rPr>
        <w:t>Way forward on new RAN1/RAN2/RAN3 led REL-19 proposals</w:t>
      </w:r>
      <w:r>
        <w:rPr>
          <w:rFonts w:hint="eastAsia"/>
          <w:lang w:val="en-US" w:eastAsia="zh-CN"/>
        </w:rPr>
        <w:t xml:space="preserve">, </w:t>
      </w:r>
      <w:r>
        <w:rPr>
          <w:lang w:val="en-US" w:eastAsia="zh-CN"/>
        </w:rPr>
        <w:t>RAN chair (Qualcomm)</w:t>
      </w:r>
    </w:p>
    <w:sectPr w:rsidR="00226FAD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2112D" w:rsidRDefault="0042112D">
      <w:pPr>
        <w:spacing w:after="0"/>
      </w:pPr>
      <w:r>
        <w:separator/>
      </w:r>
    </w:p>
  </w:endnote>
  <w:endnote w:type="continuationSeparator" w:id="0">
    <w:p w:rsidR="0042112D" w:rsidRDefault="0042112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Yu Mincho">
    <w:altName w:val="Yu Gothic"/>
    <w:charset w:val="80"/>
    <w:family w:val="roman"/>
    <w:pitch w:val="default"/>
    <w:sig w:usb0="00000000" w:usb1="00000000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2112D" w:rsidRDefault="0042112D">
      <w:pPr>
        <w:spacing w:after="0"/>
      </w:pPr>
      <w:r>
        <w:separator/>
      </w:r>
    </w:p>
  </w:footnote>
  <w:footnote w:type="continuationSeparator" w:id="0">
    <w:p w:rsidR="0042112D" w:rsidRDefault="0042112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2" w15:restartNumberingAfterBreak="0">
    <w:nsid w:val="15F505D4"/>
    <w:multiLevelType w:val="multilevel"/>
    <w:tmpl w:val="15F505D4"/>
    <w:lvl w:ilvl="0">
      <w:start w:val="1"/>
      <w:numFmt w:val="decimal"/>
      <w:pStyle w:val="References"/>
      <w:lvlText w:val="[%1]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BEE0B6"/>
    <w:multiLevelType w:val="multilevel"/>
    <w:tmpl w:val="17BEE0B6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158618C"/>
    <w:multiLevelType w:val="multilevel"/>
    <w:tmpl w:val="2158618C"/>
    <w:lvl w:ilvl="0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82946E8"/>
    <w:multiLevelType w:val="multilevel"/>
    <w:tmpl w:val="382946E8"/>
    <w:lvl w:ilvl="0">
      <w:start w:val="1"/>
      <w:numFmt w:val="bullet"/>
      <w:pStyle w:val="item"/>
      <w:lvlText w:val="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DE7A6F"/>
    <w:multiLevelType w:val="multilevel"/>
    <w:tmpl w:val="3BDE7A6F"/>
    <w:lvl w:ilvl="0">
      <w:start w:val="1"/>
      <w:numFmt w:val="decimal"/>
      <w:pStyle w:val="1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8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64D3319"/>
    <w:multiLevelType w:val="multilevel"/>
    <w:tmpl w:val="464D3319"/>
    <w:lvl w:ilvl="0">
      <w:start w:val="1"/>
      <w:numFmt w:val="decimal"/>
      <w:pStyle w:val="enumlev2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74274C7"/>
    <w:multiLevelType w:val="multilevel"/>
    <w:tmpl w:val="474274C7"/>
    <w:lvl w:ilvl="0">
      <w:start w:val="1"/>
      <w:numFmt w:val="decimalZero"/>
      <w:pStyle w:val="SpecTextNum"/>
      <w:lvlText w:val="[00%1]"/>
      <w:lvlJc w:val="left"/>
      <w:pPr>
        <w:tabs>
          <w:tab w:val="left" w:pos="1134"/>
        </w:tabs>
        <w:ind w:left="0" w:firstLine="0"/>
      </w:pPr>
      <w:rPr>
        <w:rFonts w:ascii="Times New Roman" w:hAnsi="Times New Roman" w:hint="default"/>
        <w:b/>
        <w:i w:val="0"/>
        <w:color w:val="000000"/>
      </w:rPr>
    </w:lvl>
    <w:lvl w:ilvl="1">
      <w:start w:val="1"/>
      <w:numFmt w:val="upperLetter"/>
      <w:lvlText w:val="%2."/>
      <w:lvlJc w:val="left"/>
      <w:pPr>
        <w:tabs>
          <w:tab w:val="left" w:pos="300"/>
        </w:tabs>
        <w:ind w:left="300" w:hanging="400"/>
      </w:pPr>
    </w:lvl>
    <w:lvl w:ilvl="2">
      <w:start w:val="1"/>
      <w:numFmt w:val="lowerRoman"/>
      <w:lvlText w:val="%3."/>
      <w:lvlJc w:val="right"/>
      <w:pPr>
        <w:tabs>
          <w:tab w:val="left" w:pos="700"/>
        </w:tabs>
        <w:ind w:left="700" w:hanging="400"/>
      </w:pPr>
    </w:lvl>
    <w:lvl w:ilvl="3">
      <w:start w:val="1"/>
      <w:numFmt w:val="decimal"/>
      <w:lvlText w:val="%4."/>
      <w:lvlJc w:val="left"/>
      <w:pPr>
        <w:tabs>
          <w:tab w:val="left" w:pos="1100"/>
        </w:tabs>
        <w:ind w:left="1100" w:hanging="400"/>
      </w:pPr>
    </w:lvl>
    <w:lvl w:ilvl="4">
      <w:start w:val="1"/>
      <w:numFmt w:val="upperLetter"/>
      <w:lvlText w:val="%5."/>
      <w:lvlJc w:val="left"/>
      <w:pPr>
        <w:tabs>
          <w:tab w:val="left" w:pos="1500"/>
        </w:tabs>
        <w:ind w:left="1500" w:hanging="400"/>
      </w:pPr>
    </w:lvl>
    <w:lvl w:ilvl="5">
      <w:start w:val="1"/>
      <w:numFmt w:val="lowerRoman"/>
      <w:lvlText w:val="%6."/>
      <w:lvlJc w:val="right"/>
      <w:pPr>
        <w:tabs>
          <w:tab w:val="left" w:pos="1900"/>
        </w:tabs>
        <w:ind w:left="1900" w:hanging="400"/>
      </w:pPr>
    </w:lvl>
    <w:lvl w:ilvl="6">
      <w:start w:val="1"/>
      <w:numFmt w:val="decimal"/>
      <w:lvlText w:val="%7."/>
      <w:lvlJc w:val="left"/>
      <w:pPr>
        <w:tabs>
          <w:tab w:val="left" w:pos="2300"/>
        </w:tabs>
        <w:ind w:left="2300" w:hanging="400"/>
      </w:pPr>
    </w:lvl>
    <w:lvl w:ilvl="7">
      <w:start w:val="1"/>
      <w:numFmt w:val="upperLetter"/>
      <w:lvlText w:val="%8."/>
      <w:lvlJc w:val="left"/>
      <w:pPr>
        <w:tabs>
          <w:tab w:val="left" w:pos="2700"/>
        </w:tabs>
        <w:ind w:left="2700" w:hanging="400"/>
      </w:pPr>
    </w:lvl>
    <w:lvl w:ilvl="8">
      <w:start w:val="1"/>
      <w:numFmt w:val="lowerRoman"/>
      <w:lvlText w:val="%9."/>
      <w:lvlJc w:val="right"/>
      <w:pPr>
        <w:tabs>
          <w:tab w:val="left" w:pos="3100"/>
        </w:tabs>
        <w:ind w:left="3100" w:hanging="400"/>
      </w:pPr>
    </w:lvl>
  </w:abstractNum>
  <w:abstractNum w:abstractNumId="11" w15:restartNumberingAfterBreak="0">
    <w:nsid w:val="4FFE7EA2"/>
    <w:multiLevelType w:val="multilevel"/>
    <w:tmpl w:val="4FFE7E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4"/>
  </w:num>
  <w:num w:numId="4">
    <w:abstractNumId w:val="8"/>
  </w:num>
  <w:num w:numId="5">
    <w:abstractNumId w:val="12"/>
  </w:num>
  <w:num w:numId="6">
    <w:abstractNumId w:val="4"/>
  </w:num>
  <w:num w:numId="7">
    <w:abstractNumId w:val="2"/>
  </w:num>
  <w:num w:numId="8">
    <w:abstractNumId w:val="6"/>
  </w:num>
  <w:num w:numId="9">
    <w:abstractNumId w:val="9"/>
  </w:num>
  <w:num w:numId="10">
    <w:abstractNumId w:val="1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">
    <w:abstractNumId w:val="13"/>
  </w:num>
  <w:num w:numId="12">
    <w:abstractNumId w:val="10"/>
  </w:num>
  <w:num w:numId="13">
    <w:abstractNumId w:val="11"/>
  </w:num>
  <w:num w:numId="14">
    <w:abstractNumId w:val="3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bordersDoNotSurroundHeader/>
  <w:bordersDoNotSurroundFooter/>
  <w:proofState w:spelling="clean" w:grammar="clean"/>
  <w:defaultTabStop w:val="7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1F7"/>
    <w:rsid w:val="00012041"/>
    <w:rsid w:val="00017FEB"/>
    <w:rsid w:val="00026559"/>
    <w:rsid w:val="00027DF6"/>
    <w:rsid w:val="00030F70"/>
    <w:rsid w:val="000313A7"/>
    <w:rsid w:val="00046A52"/>
    <w:rsid w:val="00051DE0"/>
    <w:rsid w:val="000522CE"/>
    <w:rsid w:val="00070003"/>
    <w:rsid w:val="00070262"/>
    <w:rsid w:val="000710AB"/>
    <w:rsid w:val="00075F0A"/>
    <w:rsid w:val="000A1F9D"/>
    <w:rsid w:val="000A548C"/>
    <w:rsid w:val="000A5F9B"/>
    <w:rsid w:val="000B2441"/>
    <w:rsid w:val="000B3036"/>
    <w:rsid w:val="000B615E"/>
    <w:rsid w:val="000B7303"/>
    <w:rsid w:val="000C173C"/>
    <w:rsid w:val="000C76AA"/>
    <w:rsid w:val="000D2717"/>
    <w:rsid w:val="000F305E"/>
    <w:rsid w:val="0011508B"/>
    <w:rsid w:val="00120F9E"/>
    <w:rsid w:val="001230F5"/>
    <w:rsid w:val="0012310B"/>
    <w:rsid w:val="0012433F"/>
    <w:rsid w:val="00130F91"/>
    <w:rsid w:val="00145BE2"/>
    <w:rsid w:val="0015542E"/>
    <w:rsid w:val="00155430"/>
    <w:rsid w:val="00162BCD"/>
    <w:rsid w:val="00162D5A"/>
    <w:rsid w:val="00163060"/>
    <w:rsid w:val="001710D4"/>
    <w:rsid w:val="00177643"/>
    <w:rsid w:val="001778F9"/>
    <w:rsid w:val="00195BC2"/>
    <w:rsid w:val="001A43F5"/>
    <w:rsid w:val="001A4838"/>
    <w:rsid w:val="001A4977"/>
    <w:rsid w:val="001B6A64"/>
    <w:rsid w:val="001C1E7C"/>
    <w:rsid w:val="001C20E6"/>
    <w:rsid w:val="001C397B"/>
    <w:rsid w:val="001D29E8"/>
    <w:rsid w:val="001D3C86"/>
    <w:rsid w:val="001D701A"/>
    <w:rsid w:val="001D704F"/>
    <w:rsid w:val="001E1F5B"/>
    <w:rsid w:val="001F1D0B"/>
    <w:rsid w:val="001F2CB7"/>
    <w:rsid w:val="001F2F82"/>
    <w:rsid w:val="002008C7"/>
    <w:rsid w:val="00203AFE"/>
    <w:rsid w:val="002076AC"/>
    <w:rsid w:val="00210793"/>
    <w:rsid w:val="00212787"/>
    <w:rsid w:val="00226FAD"/>
    <w:rsid w:val="002270D9"/>
    <w:rsid w:val="0025209E"/>
    <w:rsid w:val="002559E4"/>
    <w:rsid w:val="00256CC2"/>
    <w:rsid w:val="00262C86"/>
    <w:rsid w:val="0026664C"/>
    <w:rsid w:val="00280711"/>
    <w:rsid w:val="00280F2A"/>
    <w:rsid w:val="0028552F"/>
    <w:rsid w:val="002904DA"/>
    <w:rsid w:val="002A3D48"/>
    <w:rsid w:val="002B133E"/>
    <w:rsid w:val="002B21B5"/>
    <w:rsid w:val="002D0B7E"/>
    <w:rsid w:val="002D2B71"/>
    <w:rsid w:val="002D301A"/>
    <w:rsid w:val="002D5C45"/>
    <w:rsid w:val="002F1FAA"/>
    <w:rsid w:val="002F3DB1"/>
    <w:rsid w:val="00300F01"/>
    <w:rsid w:val="00302474"/>
    <w:rsid w:val="00311ADA"/>
    <w:rsid w:val="00324023"/>
    <w:rsid w:val="003264B7"/>
    <w:rsid w:val="0032668B"/>
    <w:rsid w:val="00326F07"/>
    <w:rsid w:val="0033238A"/>
    <w:rsid w:val="00337F0E"/>
    <w:rsid w:val="00340B20"/>
    <w:rsid w:val="00342302"/>
    <w:rsid w:val="0034579B"/>
    <w:rsid w:val="00355C5B"/>
    <w:rsid w:val="003635BB"/>
    <w:rsid w:val="00377D4E"/>
    <w:rsid w:val="003811DF"/>
    <w:rsid w:val="00391338"/>
    <w:rsid w:val="003914C3"/>
    <w:rsid w:val="00391FF7"/>
    <w:rsid w:val="00393676"/>
    <w:rsid w:val="003A4F2B"/>
    <w:rsid w:val="003A5A27"/>
    <w:rsid w:val="003B3345"/>
    <w:rsid w:val="003B35EE"/>
    <w:rsid w:val="003D47A3"/>
    <w:rsid w:val="003D4E84"/>
    <w:rsid w:val="003D5271"/>
    <w:rsid w:val="003E3EF7"/>
    <w:rsid w:val="003E67DD"/>
    <w:rsid w:val="0040556F"/>
    <w:rsid w:val="0042112D"/>
    <w:rsid w:val="00430FCB"/>
    <w:rsid w:val="00433BBC"/>
    <w:rsid w:val="00433DFB"/>
    <w:rsid w:val="004445E3"/>
    <w:rsid w:val="00445028"/>
    <w:rsid w:val="0044553C"/>
    <w:rsid w:val="00446FD7"/>
    <w:rsid w:val="00457AB4"/>
    <w:rsid w:val="004607C3"/>
    <w:rsid w:val="00465631"/>
    <w:rsid w:val="00466ACE"/>
    <w:rsid w:val="0047155F"/>
    <w:rsid w:val="00475771"/>
    <w:rsid w:val="00480394"/>
    <w:rsid w:val="00480ED9"/>
    <w:rsid w:val="00486B91"/>
    <w:rsid w:val="004871C1"/>
    <w:rsid w:val="00487603"/>
    <w:rsid w:val="004913E7"/>
    <w:rsid w:val="004A3FCD"/>
    <w:rsid w:val="004A7E15"/>
    <w:rsid w:val="004B0D86"/>
    <w:rsid w:val="004B0FFB"/>
    <w:rsid w:val="004B12D4"/>
    <w:rsid w:val="004C0A7C"/>
    <w:rsid w:val="004D0BB8"/>
    <w:rsid w:val="004D1865"/>
    <w:rsid w:val="004D62B8"/>
    <w:rsid w:val="004F3810"/>
    <w:rsid w:val="00501DF9"/>
    <w:rsid w:val="00511997"/>
    <w:rsid w:val="00542929"/>
    <w:rsid w:val="00546597"/>
    <w:rsid w:val="00554F1D"/>
    <w:rsid w:val="0056378F"/>
    <w:rsid w:val="00566800"/>
    <w:rsid w:val="005670FD"/>
    <w:rsid w:val="00567817"/>
    <w:rsid w:val="005926FA"/>
    <w:rsid w:val="00597D6B"/>
    <w:rsid w:val="005A1091"/>
    <w:rsid w:val="005A5996"/>
    <w:rsid w:val="005B28C6"/>
    <w:rsid w:val="005B77AB"/>
    <w:rsid w:val="005D196E"/>
    <w:rsid w:val="005D20F1"/>
    <w:rsid w:val="005D6B3E"/>
    <w:rsid w:val="005D727A"/>
    <w:rsid w:val="006017DD"/>
    <w:rsid w:val="006035C5"/>
    <w:rsid w:val="006041B9"/>
    <w:rsid w:val="00606200"/>
    <w:rsid w:val="00613CFB"/>
    <w:rsid w:val="00616E48"/>
    <w:rsid w:val="00633EAE"/>
    <w:rsid w:val="00645539"/>
    <w:rsid w:val="0065039A"/>
    <w:rsid w:val="00651E5D"/>
    <w:rsid w:val="006531A3"/>
    <w:rsid w:val="0065487E"/>
    <w:rsid w:val="00657927"/>
    <w:rsid w:val="00665283"/>
    <w:rsid w:val="00670B87"/>
    <w:rsid w:val="006732B1"/>
    <w:rsid w:val="00675C2C"/>
    <w:rsid w:val="0067650D"/>
    <w:rsid w:val="006805D4"/>
    <w:rsid w:val="0068494F"/>
    <w:rsid w:val="00685CBC"/>
    <w:rsid w:val="00687720"/>
    <w:rsid w:val="00690330"/>
    <w:rsid w:val="00692161"/>
    <w:rsid w:val="00692EC5"/>
    <w:rsid w:val="006A3AE9"/>
    <w:rsid w:val="006B17E2"/>
    <w:rsid w:val="006B40FF"/>
    <w:rsid w:val="006C6605"/>
    <w:rsid w:val="006D5AD8"/>
    <w:rsid w:val="006D5F2C"/>
    <w:rsid w:val="006E1783"/>
    <w:rsid w:val="006E27A2"/>
    <w:rsid w:val="006E3895"/>
    <w:rsid w:val="006E74B6"/>
    <w:rsid w:val="006E7E2F"/>
    <w:rsid w:val="006F5CA1"/>
    <w:rsid w:val="00703553"/>
    <w:rsid w:val="00706ECF"/>
    <w:rsid w:val="00711B01"/>
    <w:rsid w:val="00714338"/>
    <w:rsid w:val="00737633"/>
    <w:rsid w:val="00737E1F"/>
    <w:rsid w:val="00770DCB"/>
    <w:rsid w:val="00782382"/>
    <w:rsid w:val="00785DFB"/>
    <w:rsid w:val="007967DD"/>
    <w:rsid w:val="00797045"/>
    <w:rsid w:val="007973C7"/>
    <w:rsid w:val="007A0861"/>
    <w:rsid w:val="007A1B62"/>
    <w:rsid w:val="007A2874"/>
    <w:rsid w:val="007B1FA0"/>
    <w:rsid w:val="007B2956"/>
    <w:rsid w:val="007B2E51"/>
    <w:rsid w:val="007B4CE8"/>
    <w:rsid w:val="007B6DCE"/>
    <w:rsid w:val="007D16CB"/>
    <w:rsid w:val="007E79A9"/>
    <w:rsid w:val="007F2D46"/>
    <w:rsid w:val="007F49E7"/>
    <w:rsid w:val="007F59E5"/>
    <w:rsid w:val="00806409"/>
    <w:rsid w:val="0081164C"/>
    <w:rsid w:val="00836016"/>
    <w:rsid w:val="0084302D"/>
    <w:rsid w:val="008454F9"/>
    <w:rsid w:val="00861097"/>
    <w:rsid w:val="00865E1B"/>
    <w:rsid w:val="00873D10"/>
    <w:rsid w:val="008764EE"/>
    <w:rsid w:val="00881C24"/>
    <w:rsid w:val="008877D4"/>
    <w:rsid w:val="00895D51"/>
    <w:rsid w:val="008A165C"/>
    <w:rsid w:val="008A373A"/>
    <w:rsid w:val="008A5C7E"/>
    <w:rsid w:val="008A716E"/>
    <w:rsid w:val="008B661E"/>
    <w:rsid w:val="008C09EB"/>
    <w:rsid w:val="008D1A2D"/>
    <w:rsid w:val="008D2A72"/>
    <w:rsid w:val="008E686F"/>
    <w:rsid w:val="008F3502"/>
    <w:rsid w:val="008F5BF6"/>
    <w:rsid w:val="00910C20"/>
    <w:rsid w:val="00913AC7"/>
    <w:rsid w:val="00921AEB"/>
    <w:rsid w:val="00923D59"/>
    <w:rsid w:val="0093259E"/>
    <w:rsid w:val="0094169B"/>
    <w:rsid w:val="00950AF9"/>
    <w:rsid w:val="009521CE"/>
    <w:rsid w:val="00952287"/>
    <w:rsid w:val="00957948"/>
    <w:rsid w:val="00971695"/>
    <w:rsid w:val="00971F39"/>
    <w:rsid w:val="00982EBD"/>
    <w:rsid w:val="0098430E"/>
    <w:rsid w:val="00993CB3"/>
    <w:rsid w:val="00994A55"/>
    <w:rsid w:val="009951A9"/>
    <w:rsid w:val="00995611"/>
    <w:rsid w:val="009A0A69"/>
    <w:rsid w:val="009A5D68"/>
    <w:rsid w:val="009A6235"/>
    <w:rsid w:val="009A7095"/>
    <w:rsid w:val="009B2A15"/>
    <w:rsid w:val="009C3EDC"/>
    <w:rsid w:val="009D062C"/>
    <w:rsid w:val="009D1451"/>
    <w:rsid w:val="009D236F"/>
    <w:rsid w:val="009E52CE"/>
    <w:rsid w:val="009F6B16"/>
    <w:rsid w:val="00A00E04"/>
    <w:rsid w:val="00A01FD8"/>
    <w:rsid w:val="00A0555A"/>
    <w:rsid w:val="00A11D0B"/>
    <w:rsid w:val="00A136F9"/>
    <w:rsid w:val="00A23A13"/>
    <w:rsid w:val="00A23AC4"/>
    <w:rsid w:val="00A2589D"/>
    <w:rsid w:val="00A26411"/>
    <w:rsid w:val="00A27ED8"/>
    <w:rsid w:val="00A30BF9"/>
    <w:rsid w:val="00A321AE"/>
    <w:rsid w:val="00A361F7"/>
    <w:rsid w:val="00A50287"/>
    <w:rsid w:val="00A62D0B"/>
    <w:rsid w:val="00A72ADF"/>
    <w:rsid w:val="00A7446C"/>
    <w:rsid w:val="00A77F12"/>
    <w:rsid w:val="00A80ACE"/>
    <w:rsid w:val="00A80CF5"/>
    <w:rsid w:val="00A91003"/>
    <w:rsid w:val="00A91CA6"/>
    <w:rsid w:val="00A9321D"/>
    <w:rsid w:val="00AA788E"/>
    <w:rsid w:val="00AB1B90"/>
    <w:rsid w:val="00AB6876"/>
    <w:rsid w:val="00AC3166"/>
    <w:rsid w:val="00AC3359"/>
    <w:rsid w:val="00AC3A58"/>
    <w:rsid w:val="00AF5830"/>
    <w:rsid w:val="00AF5B6B"/>
    <w:rsid w:val="00AF6158"/>
    <w:rsid w:val="00AF6ED7"/>
    <w:rsid w:val="00B1516E"/>
    <w:rsid w:val="00B152C4"/>
    <w:rsid w:val="00B15576"/>
    <w:rsid w:val="00B43D99"/>
    <w:rsid w:val="00B467FC"/>
    <w:rsid w:val="00B502F2"/>
    <w:rsid w:val="00B640AE"/>
    <w:rsid w:val="00B64B55"/>
    <w:rsid w:val="00B70246"/>
    <w:rsid w:val="00B73CD7"/>
    <w:rsid w:val="00B80976"/>
    <w:rsid w:val="00B83CA6"/>
    <w:rsid w:val="00B93491"/>
    <w:rsid w:val="00B93E24"/>
    <w:rsid w:val="00BA52FA"/>
    <w:rsid w:val="00BA5C1C"/>
    <w:rsid w:val="00BA6DAF"/>
    <w:rsid w:val="00BB2A16"/>
    <w:rsid w:val="00BC0C4D"/>
    <w:rsid w:val="00BD127B"/>
    <w:rsid w:val="00BD2263"/>
    <w:rsid w:val="00BD5778"/>
    <w:rsid w:val="00BD6B0F"/>
    <w:rsid w:val="00BE1DA3"/>
    <w:rsid w:val="00BE2613"/>
    <w:rsid w:val="00C00749"/>
    <w:rsid w:val="00C01593"/>
    <w:rsid w:val="00C05E2F"/>
    <w:rsid w:val="00C07988"/>
    <w:rsid w:val="00C124D9"/>
    <w:rsid w:val="00C15270"/>
    <w:rsid w:val="00C17EA2"/>
    <w:rsid w:val="00C27FEB"/>
    <w:rsid w:val="00C301C6"/>
    <w:rsid w:val="00C32781"/>
    <w:rsid w:val="00C42069"/>
    <w:rsid w:val="00C44BBE"/>
    <w:rsid w:val="00C450A2"/>
    <w:rsid w:val="00C45599"/>
    <w:rsid w:val="00C50D79"/>
    <w:rsid w:val="00C602F5"/>
    <w:rsid w:val="00C60DC8"/>
    <w:rsid w:val="00C65FBC"/>
    <w:rsid w:val="00C6743C"/>
    <w:rsid w:val="00C774D0"/>
    <w:rsid w:val="00C82A4A"/>
    <w:rsid w:val="00C86B31"/>
    <w:rsid w:val="00C91E19"/>
    <w:rsid w:val="00C96043"/>
    <w:rsid w:val="00CA2E0F"/>
    <w:rsid w:val="00CC150C"/>
    <w:rsid w:val="00CC4D81"/>
    <w:rsid w:val="00CE0277"/>
    <w:rsid w:val="00CF03B6"/>
    <w:rsid w:val="00CF797A"/>
    <w:rsid w:val="00D05149"/>
    <w:rsid w:val="00D11338"/>
    <w:rsid w:val="00D2395F"/>
    <w:rsid w:val="00D407B3"/>
    <w:rsid w:val="00D421BB"/>
    <w:rsid w:val="00D431D8"/>
    <w:rsid w:val="00D437B7"/>
    <w:rsid w:val="00D45CBF"/>
    <w:rsid w:val="00D52538"/>
    <w:rsid w:val="00D53AB9"/>
    <w:rsid w:val="00D6592D"/>
    <w:rsid w:val="00D72C3B"/>
    <w:rsid w:val="00D84D1F"/>
    <w:rsid w:val="00D86CC0"/>
    <w:rsid w:val="00DA2A10"/>
    <w:rsid w:val="00DA7513"/>
    <w:rsid w:val="00DB4A00"/>
    <w:rsid w:val="00DC0F88"/>
    <w:rsid w:val="00DC1EF1"/>
    <w:rsid w:val="00DC60D4"/>
    <w:rsid w:val="00DD2381"/>
    <w:rsid w:val="00DE28FB"/>
    <w:rsid w:val="00DE6621"/>
    <w:rsid w:val="00DF3684"/>
    <w:rsid w:val="00DF5800"/>
    <w:rsid w:val="00E133C3"/>
    <w:rsid w:val="00E1383E"/>
    <w:rsid w:val="00E158D1"/>
    <w:rsid w:val="00E1686C"/>
    <w:rsid w:val="00E215C4"/>
    <w:rsid w:val="00E25D0E"/>
    <w:rsid w:val="00E273C4"/>
    <w:rsid w:val="00E426ED"/>
    <w:rsid w:val="00E42731"/>
    <w:rsid w:val="00E433BA"/>
    <w:rsid w:val="00E44836"/>
    <w:rsid w:val="00E44A17"/>
    <w:rsid w:val="00E802EE"/>
    <w:rsid w:val="00E927CC"/>
    <w:rsid w:val="00EA0F6D"/>
    <w:rsid w:val="00EC238D"/>
    <w:rsid w:val="00EC51A0"/>
    <w:rsid w:val="00EC59E1"/>
    <w:rsid w:val="00EC60F4"/>
    <w:rsid w:val="00ED4BB8"/>
    <w:rsid w:val="00ED5664"/>
    <w:rsid w:val="00ED61F5"/>
    <w:rsid w:val="00F1151A"/>
    <w:rsid w:val="00F143FF"/>
    <w:rsid w:val="00F17F2A"/>
    <w:rsid w:val="00F20615"/>
    <w:rsid w:val="00F2238C"/>
    <w:rsid w:val="00F3139D"/>
    <w:rsid w:val="00F35A49"/>
    <w:rsid w:val="00F45EED"/>
    <w:rsid w:val="00F517AE"/>
    <w:rsid w:val="00F56022"/>
    <w:rsid w:val="00F6288A"/>
    <w:rsid w:val="00F62AF3"/>
    <w:rsid w:val="00F65419"/>
    <w:rsid w:val="00F803D4"/>
    <w:rsid w:val="00F916AF"/>
    <w:rsid w:val="00FA240A"/>
    <w:rsid w:val="00FB6E31"/>
    <w:rsid w:val="00FC2EED"/>
    <w:rsid w:val="00FD6B32"/>
    <w:rsid w:val="00FE5131"/>
    <w:rsid w:val="00FE5ABD"/>
    <w:rsid w:val="00FF345F"/>
    <w:rsid w:val="00FF5AAE"/>
    <w:rsid w:val="00FF7BEB"/>
    <w:rsid w:val="018A58CB"/>
    <w:rsid w:val="01F11ABC"/>
    <w:rsid w:val="04BE2ED4"/>
    <w:rsid w:val="06451A56"/>
    <w:rsid w:val="06963DDF"/>
    <w:rsid w:val="06D0743C"/>
    <w:rsid w:val="09764BF0"/>
    <w:rsid w:val="0A025FF9"/>
    <w:rsid w:val="0BAB60B5"/>
    <w:rsid w:val="0C301D6B"/>
    <w:rsid w:val="0CAA7322"/>
    <w:rsid w:val="0D6938A2"/>
    <w:rsid w:val="0DC83A75"/>
    <w:rsid w:val="0E1B4E76"/>
    <w:rsid w:val="0EBB3639"/>
    <w:rsid w:val="0F84587A"/>
    <w:rsid w:val="100D7863"/>
    <w:rsid w:val="13B74DE6"/>
    <w:rsid w:val="13F218D0"/>
    <w:rsid w:val="143602DA"/>
    <w:rsid w:val="14720225"/>
    <w:rsid w:val="1552298B"/>
    <w:rsid w:val="1595150C"/>
    <w:rsid w:val="15B029A2"/>
    <w:rsid w:val="166938A9"/>
    <w:rsid w:val="16FF4318"/>
    <w:rsid w:val="170F24F1"/>
    <w:rsid w:val="179F6362"/>
    <w:rsid w:val="1A424E7F"/>
    <w:rsid w:val="1AAA39D4"/>
    <w:rsid w:val="1BD35136"/>
    <w:rsid w:val="1CF76192"/>
    <w:rsid w:val="1D3D2FFA"/>
    <w:rsid w:val="1DC064A5"/>
    <w:rsid w:val="1E7246A5"/>
    <w:rsid w:val="1F3025BA"/>
    <w:rsid w:val="20EB001C"/>
    <w:rsid w:val="219630B6"/>
    <w:rsid w:val="23384591"/>
    <w:rsid w:val="25AF1BE4"/>
    <w:rsid w:val="25DB4AFE"/>
    <w:rsid w:val="26130D8E"/>
    <w:rsid w:val="266D329C"/>
    <w:rsid w:val="2B426863"/>
    <w:rsid w:val="2DA835D6"/>
    <w:rsid w:val="2EFA558F"/>
    <w:rsid w:val="2F35161A"/>
    <w:rsid w:val="2FA8493D"/>
    <w:rsid w:val="3075518C"/>
    <w:rsid w:val="30E965CE"/>
    <w:rsid w:val="31406FDD"/>
    <w:rsid w:val="32EA1597"/>
    <w:rsid w:val="3312199A"/>
    <w:rsid w:val="33BB2EB6"/>
    <w:rsid w:val="35400790"/>
    <w:rsid w:val="358F3326"/>
    <w:rsid w:val="36AC62D8"/>
    <w:rsid w:val="37872E74"/>
    <w:rsid w:val="381419DC"/>
    <w:rsid w:val="381F1A74"/>
    <w:rsid w:val="3A9474A1"/>
    <w:rsid w:val="3C3976F6"/>
    <w:rsid w:val="3C7A0535"/>
    <w:rsid w:val="3D027E9D"/>
    <w:rsid w:val="3E855DC8"/>
    <w:rsid w:val="3F864FC5"/>
    <w:rsid w:val="400865EF"/>
    <w:rsid w:val="41E50BAA"/>
    <w:rsid w:val="42681DFC"/>
    <w:rsid w:val="429C4727"/>
    <w:rsid w:val="44092E2E"/>
    <w:rsid w:val="44562E10"/>
    <w:rsid w:val="4463567E"/>
    <w:rsid w:val="44EB6041"/>
    <w:rsid w:val="47993F84"/>
    <w:rsid w:val="489973AA"/>
    <w:rsid w:val="4D094EC3"/>
    <w:rsid w:val="4D541AEE"/>
    <w:rsid w:val="4E82266A"/>
    <w:rsid w:val="4EDB212D"/>
    <w:rsid w:val="4FF33DB8"/>
    <w:rsid w:val="51087569"/>
    <w:rsid w:val="51120C8D"/>
    <w:rsid w:val="517A4EB9"/>
    <w:rsid w:val="52586AA6"/>
    <w:rsid w:val="536C1D08"/>
    <w:rsid w:val="53AF716D"/>
    <w:rsid w:val="53CA3594"/>
    <w:rsid w:val="56561764"/>
    <w:rsid w:val="56B247E4"/>
    <w:rsid w:val="576B17B6"/>
    <w:rsid w:val="578215FD"/>
    <w:rsid w:val="599154FE"/>
    <w:rsid w:val="5AF52627"/>
    <w:rsid w:val="5BED775E"/>
    <w:rsid w:val="5C865BC7"/>
    <w:rsid w:val="5DA65EFA"/>
    <w:rsid w:val="5F016DFC"/>
    <w:rsid w:val="5F376BBC"/>
    <w:rsid w:val="5F9304D9"/>
    <w:rsid w:val="624C6651"/>
    <w:rsid w:val="631611C1"/>
    <w:rsid w:val="654D24C2"/>
    <w:rsid w:val="6573320B"/>
    <w:rsid w:val="65A65279"/>
    <w:rsid w:val="67482AED"/>
    <w:rsid w:val="687675E4"/>
    <w:rsid w:val="68BD6AD3"/>
    <w:rsid w:val="69CD77BD"/>
    <w:rsid w:val="69E25200"/>
    <w:rsid w:val="6BF343C7"/>
    <w:rsid w:val="6D2F41F3"/>
    <w:rsid w:val="6DD67943"/>
    <w:rsid w:val="6E3D5571"/>
    <w:rsid w:val="6E732CC4"/>
    <w:rsid w:val="6EAC66B8"/>
    <w:rsid w:val="6F00762E"/>
    <w:rsid w:val="6FA71DBC"/>
    <w:rsid w:val="6FAB4007"/>
    <w:rsid w:val="70424E0E"/>
    <w:rsid w:val="716A417E"/>
    <w:rsid w:val="725A4828"/>
    <w:rsid w:val="7297468D"/>
    <w:rsid w:val="72C77433"/>
    <w:rsid w:val="73280AA9"/>
    <w:rsid w:val="741E6CC4"/>
    <w:rsid w:val="748C3843"/>
    <w:rsid w:val="765D4390"/>
    <w:rsid w:val="76FE4FA3"/>
    <w:rsid w:val="779C50F7"/>
    <w:rsid w:val="78FA4568"/>
    <w:rsid w:val="799C1155"/>
    <w:rsid w:val="79A4470B"/>
    <w:rsid w:val="7A2B7F7C"/>
    <w:rsid w:val="7ABA0AE5"/>
    <w:rsid w:val="7B8051E5"/>
    <w:rsid w:val="7C1C208B"/>
    <w:rsid w:val="7C854FCE"/>
    <w:rsid w:val="7DFC1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6250389"/>
  <w15:docId w15:val="{C606FB86-7B00-4591-9390-D4C1D37A3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uiPriority="0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uiPriority="0" w:qFormat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180"/>
      <w:jc w:val="both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numPr>
        <w:numId w:val="1"/>
      </w:numPr>
      <w:pBdr>
        <w:top w:val="single" w:sz="12" w:space="1" w:color="auto"/>
      </w:pBdr>
      <w:spacing w:before="240"/>
      <w:outlineLvl w:val="0"/>
    </w:pPr>
    <w:rPr>
      <w:rFonts w:ascii="Arial" w:hAnsi="Arial"/>
      <w:sz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180"/>
      <w:outlineLvl w:val="1"/>
    </w:pPr>
    <w:rPr>
      <w:rFonts w:ascii="Arial" w:hAnsi="Arial"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120"/>
      <w:outlineLvl w:val="2"/>
    </w:pPr>
    <w:rPr>
      <w:rFonts w:ascii="Arial" w:hAnsi="Arial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120"/>
      <w:outlineLvl w:val="3"/>
    </w:pPr>
    <w:rPr>
      <w:rFonts w:ascii="Arial" w:hAnsi="Arial"/>
    </w:rPr>
  </w:style>
  <w:style w:type="paragraph" w:styleId="50">
    <w:name w:val="heading 5"/>
    <w:basedOn w:val="a"/>
    <w:next w:val="a"/>
    <w:qFormat/>
    <w:pPr>
      <w:keepNext/>
      <w:numPr>
        <w:ilvl w:val="4"/>
        <w:numId w:val="1"/>
      </w:numPr>
      <w:spacing w:before="120"/>
      <w:outlineLvl w:val="4"/>
    </w:pPr>
    <w:rPr>
      <w:rFonts w:ascii="Arial" w:hAnsi="Arial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qFormat/>
    <w:pPr>
      <w:keepNext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a"/>
    <w:next w:val="a"/>
    <w:qFormat/>
    <w:pPr>
      <w:keepNext/>
      <w:numPr>
        <w:ilvl w:val="7"/>
        <w:numId w:val="1"/>
      </w:numPr>
      <w:spacing w:before="120"/>
      <w:outlineLvl w:val="7"/>
    </w:pPr>
    <w:rPr>
      <w:rFonts w:ascii="Arial" w:hAnsi="Arial"/>
    </w:rPr>
  </w:style>
  <w:style w:type="paragraph" w:styleId="9">
    <w:name w:val="heading 9"/>
    <w:basedOn w:val="a"/>
    <w:next w:val="a"/>
    <w:qFormat/>
    <w:pPr>
      <w:keepNext/>
      <w:numPr>
        <w:ilvl w:val="8"/>
        <w:numId w:val="1"/>
      </w:numPr>
      <w:spacing w:before="180" w:after="120"/>
      <w:outlineLvl w:val="8"/>
    </w:pPr>
    <w:rPr>
      <w:rFonts w:ascii="Arial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"/>
    <w:qFormat/>
    <w:pPr>
      <w:ind w:left="851"/>
    </w:pPr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paragraph" w:styleId="a5">
    <w:name w:val="Body Text"/>
    <w:basedOn w:val="a"/>
    <w:semiHidden/>
    <w:qFormat/>
    <w:rPr>
      <w:rFonts w:ascii="Arial" w:hAnsi="Arial" w:cs="Arial"/>
      <w:color w:val="FF0000"/>
    </w:rPr>
  </w:style>
  <w:style w:type="paragraph" w:styleId="a6">
    <w:name w:val="Balloon Text"/>
    <w:basedOn w:val="a"/>
    <w:link w:val="a7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8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9">
    <w:name w:val="header"/>
    <w:basedOn w:val="a"/>
    <w:semiHidden/>
    <w:qFormat/>
    <w:pPr>
      <w:tabs>
        <w:tab w:val="center" w:pos="4153"/>
        <w:tab w:val="right" w:pos="8306"/>
      </w:tabs>
    </w:pPr>
  </w:style>
  <w:style w:type="paragraph" w:styleId="5">
    <w:name w:val="List Number 5"/>
    <w:basedOn w:val="a"/>
    <w:qFormat/>
    <w:pPr>
      <w:numPr>
        <w:numId w:val="2"/>
      </w:numPr>
      <w:overflowPunct w:val="0"/>
      <w:autoSpaceDE w:val="0"/>
      <w:autoSpaceDN w:val="0"/>
      <w:adjustRightInd w:val="0"/>
      <w:contextualSpacing/>
      <w:jc w:val="left"/>
      <w:textAlignment w:val="baseline"/>
    </w:pPr>
    <w:rPr>
      <w:rFonts w:eastAsiaTheme="minorEastAsia"/>
    </w:rPr>
  </w:style>
  <w:style w:type="paragraph" w:styleId="aa">
    <w:name w:val="List"/>
    <w:basedOn w:val="a"/>
    <w:qFormat/>
    <w:pPr>
      <w:ind w:left="568" w:hanging="284"/>
    </w:pPr>
  </w:style>
  <w:style w:type="paragraph" w:styleId="ab">
    <w:name w:val="Normal (Web)"/>
    <w:basedOn w:val="a"/>
    <w:uiPriority w:val="99"/>
    <w:semiHidden/>
    <w:unhideWhenUsed/>
    <w:qFormat/>
    <w:pPr>
      <w:spacing w:beforeAutospacing="1" w:after="0" w:afterAutospacing="1"/>
      <w:jc w:val="left"/>
    </w:pPr>
    <w:rPr>
      <w:sz w:val="24"/>
      <w:lang w:val="en-US" w:eastAsia="zh-CN"/>
    </w:rPr>
  </w:style>
  <w:style w:type="paragraph" w:styleId="ac">
    <w:name w:val="annotation subject"/>
    <w:basedOn w:val="a3"/>
    <w:next w:val="a3"/>
    <w:link w:val="ad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table" w:styleId="ae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uiPriority w:val="22"/>
    <w:qFormat/>
    <w:rPr>
      <w:b/>
      <w:bCs/>
    </w:rPr>
  </w:style>
  <w:style w:type="character" w:styleId="af0">
    <w:name w:val="page number"/>
    <w:basedOn w:val="a0"/>
    <w:semiHidden/>
    <w:qFormat/>
  </w:style>
  <w:style w:type="character" w:styleId="af1">
    <w:name w:val="annotation reference"/>
    <w:semiHidden/>
    <w:qFormat/>
    <w:rPr>
      <w:sz w:val="16"/>
    </w:rPr>
  </w:style>
  <w:style w:type="paragraph" w:customStyle="1" w:styleId="DECISION">
    <w:name w:val="DECISION"/>
    <w:basedOn w:val="a"/>
    <w:qFormat/>
    <w:pPr>
      <w:widowControl w:val="0"/>
      <w:numPr>
        <w:numId w:val="3"/>
      </w:numPr>
      <w:spacing w:before="120" w:after="120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5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6"/>
      </w:numPr>
    </w:pPr>
    <w:rPr>
      <w:color w:val="FF0000"/>
    </w:rPr>
  </w:style>
  <w:style w:type="character" w:customStyle="1" w:styleId="a7">
    <w:name w:val="批注框文本 字符"/>
    <w:link w:val="a6"/>
    <w:uiPriority w:val="99"/>
    <w:semiHidden/>
    <w:qFormat/>
    <w:rPr>
      <w:rFonts w:ascii="Segoe UI" w:hAnsi="Segoe UI" w:cs="Segoe UI"/>
      <w:sz w:val="18"/>
      <w:szCs w:val="18"/>
      <w:lang w:eastAsia="en-US"/>
    </w:rPr>
  </w:style>
  <w:style w:type="paragraph" w:styleId="af2">
    <w:name w:val="List Paragraph"/>
    <w:basedOn w:val="a"/>
    <w:link w:val="af3"/>
    <w:uiPriority w:val="34"/>
    <w:qFormat/>
    <w:pPr>
      <w:ind w:left="720"/>
    </w:pPr>
  </w:style>
  <w:style w:type="character" w:customStyle="1" w:styleId="10">
    <w:name w:val="不明显参考1"/>
    <w:uiPriority w:val="31"/>
    <w:qFormat/>
    <w:rPr>
      <w:smallCaps/>
      <w:color w:val="5A5A5A"/>
    </w:rPr>
  </w:style>
  <w:style w:type="paragraph" w:customStyle="1" w:styleId="References">
    <w:name w:val="References"/>
    <w:basedOn w:val="a"/>
    <w:link w:val="References0"/>
    <w:qFormat/>
    <w:pPr>
      <w:numPr>
        <w:numId w:val="7"/>
      </w:numPr>
      <w:spacing w:after="60"/>
      <w:ind w:left="357" w:hanging="357"/>
    </w:pPr>
  </w:style>
  <w:style w:type="character" w:customStyle="1" w:styleId="References0">
    <w:name w:val="References 字符"/>
    <w:link w:val="References"/>
    <w:qFormat/>
    <w:rPr>
      <w:lang w:val="en-GB" w:eastAsia="en-US"/>
    </w:rPr>
  </w:style>
  <w:style w:type="paragraph" w:styleId="af4">
    <w:name w:val="Quote"/>
    <w:basedOn w:val="a"/>
    <w:next w:val="a"/>
    <w:link w:val="af5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5">
    <w:name w:val="引用 字符"/>
    <w:link w:val="af4"/>
    <w:uiPriority w:val="29"/>
    <w:qFormat/>
    <w:rPr>
      <w:i/>
      <w:iCs/>
      <w:color w:val="404040"/>
      <w:lang w:val="en-GB" w:eastAsia="en-US"/>
    </w:rPr>
  </w:style>
  <w:style w:type="character" w:customStyle="1" w:styleId="11">
    <w:name w:val="书籍标题1"/>
    <w:uiPriority w:val="33"/>
    <w:qFormat/>
    <w:rPr>
      <w:b/>
      <w:bCs/>
      <w:i/>
      <w:iCs/>
      <w:spacing w:val="5"/>
    </w:rPr>
  </w:style>
  <w:style w:type="paragraph" w:styleId="af6">
    <w:name w:val="No Spacing"/>
    <w:uiPriority w:val="1"/>
    <w:qFormat/>
    <w:rPr>
      <w:rFonts w:eastAsia="Times New Roman"/>
      <w:lang w:val="en-GB" w:eastAsia="en-US"/>
    </w:rPr>
  </w:style>
  <w:style w:type="paragraph" w:customStyle="1" w:styleId="B1">
    <w:name w:val="B1"/>
    <w:basedOn w:val="aa"/>
    <w:link w:val="B1Char1"/>
    <w:qFormat/>
    <w:pPr>
      <w:overflowPunct w:val="0"/>
      <w:autoSpaceDE w:val="0"/>
      <w:autoSpaceDN w:val="0"/>
      <w:adjustRightInd w:val="0"/>
      <w:jc w:val="left"/>
      <w:textAlignment w:val="baseline"/>
    </w:pPr>
    <w:rPr>
      <w:rFonts w:eastAsiaTheme="minorEastAsia"/>
      <w:lang w:eastAsia="en-GB"/>
    </w:rPr>
  </w:style>
  <w:style w:type="paragraph" w:customStyle="1" w:styleId="B2">
    <w:name w:val="B2"/>
    <w:basedOn w:val="20"/>
    <w:link w:val="B2Char"/>
    <w:qFormat/>
    <w:pPr>
      <w:overflowPunct w:val="0"/>
      <w:autoSpaceDE w:val="0"/>
      <w:autoSpaceDN w:val="0"/>
      <w:adjustRightInd w:val="0"/>
      <w:jc w:val="left"/>
      <w:textAlignment w:val="baseline"/>
    </w:pPr>
    <w:rPr>
      <w:rFonts w:eastAsiaTheme="minorEastAsia"/>
      <w:lang w:eastAsia="en-GB"/>
    </w:rPr>
  </w:style>
  <w:style w:type="character" w:customStyle="1" w:styleId="B1Char1">
    <w:name w:val="B1 Char1"/>
    <w:link w:val="B1"/>
    <w:qFormat/>
    <w:rPr>
      <w:lang w:val="en-GB" w:eastAsia="en-GB"/>
    </w:rPr>
  </w:style>
  <w:style w:type="character" w:customStyle="1" w:styleId="B2Char">
    <w:name w:val="B2 Char"/>
    <w:link w:val="B2"/>
    <w:qFormat/>
    <w:rPr>
      <w:lang w:val="en-GB" w:eastAsia="en-GB"/>
    </w:rPr>
  </w:style>
  <w:style w:type="paragraph" w:customStyle="1" w:styleId="item">
    <w:name w:val="item"/>
    <w:basedOn w:val="a"/>
    <w:qFormat/>
    <w:pPr>
      <w:numPr>
        <w:numId w:val="8"/>
      </w:numPr>
      <w:tabs>
        <w:tab w:val="clear" w:pos="360"/>
      </w:tabs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eastAsia="MS Mincho"/>
      <w:lang w:eastAsia="en-GB"/>
    </w:rPr>
  </w:style>
  <w:style w:type="paragraph" w:customStyle="1" w:styleId="ListParagraph1">
    <w:name w:val="List Paragraph1"/>
    <w:basedOn w:val="a"/>
    <w:link w:val="af7"/>
    <w:qFormat/>
    <w:pPr>
      <w:spacing w:after="0"/>
      <w:ind w:left="720"/>
      <w:contextualSpacing/>
      <w:jc w:val="left"/>
    </w:pPr>
    <w:rPr>
      <w:rFonts w:eastAsia="Times New Roman"/>
      <w:sz w:val="24"/>
      <w:szCs w:val="24"/>
      <w:lang w:val="en-US" w:eastAsia="zh-CN"/>
    </w:rPr>
  </w:style>
  <w:style w:type="paragraph" w:customStyle="1" w:styleId="B3">
    <w:name w:val="B3"/>
    <w:basedOn w:val="30"/>
    <w:link w:val="B3Char"/>
    <w:qFormat/>
    <w:pPr>
      <w:overflowPunct w:val="0"/>
      <w:autoSpaceDE w:val="0"/>
      <w:autoSpaceDN w:val="0"/>
      <w:adjustRightInd w:val="0"/>
      <w:jc w:val="left"/>
      <w:textAlignment w:val="baseline"/>
    </w:pPr>
    <w:rPr>
      <w:rFonts w:eastAsiaTheme="minorEastAsia"/>
      <w:lang w:eastAsia="en-GB"/>
    </w:rPr>
  </w:style>
  <w:style w:type="character" w:customStyle="1" w:styleId="B3Char">
    <w:name w:val="B3 Char"/>
    <w:basedOn w:val="a0"/>
    <w:link w:val="B3"/>
    <w:qFormat/>
    <w:rPr>
      <w:lang w:val="en-GB" w:eastAsia="en-GB"/>
    </w:rPr>
  </w:style>
  <w:style w:type="paragraph" w:customStyle="1" w:styleId="EX">
    <w:name w:val="EX"/>
    <w:basedOn w:val="a"/>
    <w:qFormat/>
    <w:pPr>
      <w:keepLines/>
      <w:overflowPunct w:val="0"/>
      <w:autoSpaceDE w:val="0"/>
      <w:autoSpaceDN w:val="0"/>
      <w:adjustRightInd w:val="0"/>
      <w:ind w:left="1702" w:hanging="1418"/>
      <w:jc w:val="left"/>
      <w:textAlignment w:val="baseline"/>
    </w:pPr>
    <w:rPr>
      <w:rFonts w:eastAsiaTheme="minorEastAsia"/>
      <w:lang w:eastAsia="en-GB"/>
    </w:rPr>
  </w:style>
  <w:style w:type="character" w:customStyle="1" w:styleId="af7">
    <w:name w:val="リスト段落 (文字)"/>
    <w:link w:val="ListParagraph1"/>
    <w:uiPriority w:val="34"/>
    <w:qFormat/>
    <w:rPr>
      <w:rFonts w:eastAsia="Times New Roman"/>
      <w:sz w:val="24"/>
      <w:szCs w:val="24"/>
    </w:rPr>
  </w:style>
  <w:style w:type="character" w:customStyle="1" w:styleId="a4">
    <w:name w:val="批注文字 字符"/>
    <w:basedOn w:val="a0"/>
    <w:link w:val="a3"/>
    <w:semiHidden/>
    <w:qFormat/>
    <w:rPr>
      <w:rFonts w:ascii="Arial" w:eastAsia="宋体" w:hAnsi="Arial"/>
      <w:lang w:val="en-GB" w:eastAsia="en-US"/>
    </w:rPr>
  </w:style>
  <w:style w:type="character" w:customStyle="1" w:styleId="ad">
    <w:name w:val="批注主题 字符"/>
    <w:basedOn w:val="a4"/>
    <w:link w:val="ac"/>
    <w:uiPriority w:val="99"/>
    <w:semiHidden/>
    <w:qFormat/>
    <w:rPr>
      <w:rFonts w:ascii="Arial" w:eastAsia="宋体" w:hAnsi="Arial"/>
      <w:b/>
      <w:bCs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paragraph" w:customStyle="1" w:styleId="enumlev2">
    <w:name w:val="enumlev2"/>
    <w:basedOn w:val="a"/>
    <w:qFormat/>
    <w:pPr>
      <w:numPr>
        <w:numId w:val="9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textAlignment w:val="baseline"/>
    </w:pPr>
    <w:rPr>
      <w:lang w:val="en-US" w:eastAsia="en-GB"/>
    </w:rPr>
  </w:style>
  <w:style w:type="paragraph" w:customStyle="1" w:styleId="textintend1">
    <w:name w:val="text intend 1"/>
    <w:basedOn w:val="a"/>
    <w:qFormat/>
    <w:pPr>
      <w:numPr>
        <w:numId w:val="10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sz w:val="24"/>
      <w:lang w:val="en-US" w:eastAsia="zh-CN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af3">
    <w:name w:val="列表段落 字符"/>
    <w:link w:val="af2"/>
    <w:uiPriority w:val="34"/>
    <w:qFormat/>
    <w:rPr>
      <w:rFonts w:eastAsia="宋体"/>
      <w:lang w:val="en-GB" w:eastAsia="en-US"/>
    </w:rPr>
  </w:style>
  <w:style w:type="paragraph" w:customStyle="1" w:styleId="ListParagraph2">
    <w:name w:val="List Paragraph2"/>
    <w:basedOn w:val="a"/>
    <w:qFormat/>
    <w:pPr>
      <w:spacing w:before="100" w:beforeAutospacing="1" w:after="100" w:afterAutospacing="1"/>
      <w:ind w:leftChars="400" w:left="840"/>
      <w:jc w:val="left"/>
    </w:pPr>
    <w:rPr>
      <w:rFonts w:eastAsia="MS Gothic"/>
      <w:sz w:val="24"/>
      <w:szCs w:val="24"/>
      <w:lang w:val="en-US" w:eastAsia="zh-CN"/>
    </w:rPr>
  </w:style>
  <w:style w:type="paragraph" w:customStyle="1" w:styleId="B4">
    <w:name w:val="B4"/>
    <w:basedOn w:val="a"/>
    <w:link w:val="B4Char"/>
    <w:qFormat/>
    <w:pPr>
      <w:ind w:left="1418" w:hanging="284"/>
      <w:jc w:val="left"/>
    </w:pPr>
  </w:style>
  <w:style w:type="paragraph" w:customStyle="1" w:styleId="B5">
    <w:name w:val="B5"/>
    <w:basedOn w:val="a"/>
    <w:link w:val="B5Char"/>
    <w:qFormat/>
    <w:pPr>
      <w:ind w:left="1702" w:hanging="284"/>
      <w:jc w:val="left"/>
    </w:pPr>
  </w:style>
  <w:style w:type="paragraph" w:customStyle="1" w:styleId="bullet1">
    <w:name w:val="bullet1"/>
    <w:basedOn w:val="a"/>
    <w:qFormat/>
    <w:pPr>
      <w:numPr>
        <w:numId w:val="11"/>
      </w:numPr>
      <w:spacing w:after="0"/>
      <w:jc w:val="left"/>
    </w:pPr>
    <w:rPr>
      <w:rFonts w:ascii="Calibri" w:hAnsi="Calibri"/>
      <w:kern w:val="2"/>
      <w:sz w:val="24"/>
      <w:szCs w:val="24"/>
      <w:lang w:eastAsia="zh-CN"/>
    </w:rPr>
  </w:style>
  <w:style w:type="paragraph" w:customStyle="1" w:styleId="bullet2">
    <w:name w:val="bullet2"/>
    <w:basedOn w:val="a"/>
    <w:qFormat/>
    <w:pPr>
      <w:numPr>
        <w:ilvl w:val="1"/>
        <w:numId w:val="11"/>
      </w:numPr>
      <w:spacing w:after="0"/>
      <w:jc w:val="left"/>
    </w:pPr>
    <w:rPr>
      <w:rFonts w:ascii="Times" w:hAnsi="Times"/>
      <w:kern w:val="2"/>
      <w:sz w:val="24"/>
      <w:szCs w:val="24"/>
      <w:lang w:eastAsia="zh-CN"/>
    </w:rPr>
  </w:style>
  <w:style w:type="paragraph" w:customStyle="1" w:styleId="bullet3">
    <w:name w:val="bullet3"/>
    <w:basedOn w:val="a"/>
    <w:qFormat/>
    <w:pPr>
      <w:numPr>
        <w:ilvl w:val="2"/>
        <w:numId w:val="11"/>
      </w:numPr>
      <w:spacing w:after="0"/>
      <w:jc w:val="left"/>
    </w:pPr>
    <w:rPr>
      <w:rFonts w:ascii="Times" w:eastAsia="Batang" w:hAnsi="Times"/>
      <w:szCs w:val="24"/>
    </w:rPr>
  </w:style>
  <w:style w:type="paragraph" w:customStyle="1" w:styleId="bullet4">
    <w:name w:val="bullet4"/>
    <w:basedOn w:val="a"/>
    <w:qFormat/>
    <w:pPr>
      <w:numPr>
        <w:ilvl w:val="3"/>
        <w:numId w:val="11"/>
      </w:numPr>
      <w:spacing w:after="0"/>
      <w:jc w:val="left"/>
    </w:pPr>
    <w:rPr>
      <w:rFonts w:ascii="Times" w:eastAsia="Batang" w:hAnsi="Times"/>
      <w:szCs w:val="24"/>
    </w:rPr>
  </w:style>
  <w:style w:type="paragraph" w:customStyle="1" w:styleId="SpecTextNum">
    <w:name w:val="Spec Text Num"/>
    <w:basedOn w:val="a"/>
    <w:qFormat/>
    <w:pPr>
      <w:numPr>
        <w:numId w:val="12"/>
      </w:numPr>
      <w:tabs>
        <w:tab w:val="clear" w:pos="1134"/>
        <w:tab w:val="left" w:pos="851"/>
      </w:tabs>
      <w:spacing w:after="0"/>
      <w:ind w:left="851" w:hanging="851"/>
      <w:jc w:val="left"/>
    </w:pPr>
    <w:rPr>
      <w:rFonts w:eastAsia="MS Mincho"/>
      <w:sz w:val="24"/>
      <w:szCs w:val="24"/>
      <w:lang w:val="en-US" w:eastAsia="ja-JP"/>
    </w:rPr>
  </w:style>
  <w:style w:type="character" w:customStyle="1" w:styleId="B4Char">
    <w:name w:val="B4 Char"/>
    <w:link w:val="B4"/>
    <w:qFormat/>
    <w:rPr>
      <w:rFonts w:eastAsia="宋体"/>
      <w:lang w:val="en-GB" w:eastAsia="en-US"/>
    </w:rPr>
  </w:style>
  <w:style w:type="character" w:customStyle="1" w:styleId="B5Char">
    <w:name w:val="B5 Char"/>
    <w:link w:val="B5"/>
    <w:qFormat/>
    <w:rPr>
      <w:rFonts w:eastAsia="宋体"/>
      <w:lang w:val="en-GB" w:eastAsia="en-US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Theme="minorEastAsia" w:hAnsi="Arial"/>
      <w:sz w:val="18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21">
    <w:name w:val="修订2"/>
    <w:hidden/>
    <w:uiPriority w:val="99"/>
    <w:semiHidden/>
    <w:qFormat/>
    <w:rPr>
      <w:lang w:val="en-GB" w:eastAsia="en-US"/>
    </w:rPr>
  </w:style>
  <w:style w:type="paragraph" w:customStyle="1" w:styleId="31">
    <w:name w:val="修订3"/>
    <w:hidden/>
    <w:uiPriority w:val="99"/>
    <w:semiHidden/>
    <w:qFormat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124B48-9697-4F82-BB91-BB0AF069D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5</Pages>
  <Words>2203</Words>
  <Characters>12562</Characters>
  <Application>Microsoft Office Word</Application>
  <DocSecurity>0</DocSecurity>
  <Lines>104</Lines>
  <Paragraphs>29</Paragraphs>
  <ScaleCrop>false</ScaleCrop>
  <Company>ZTE Corporation</Company>
  <LinksUpToDate>false</LinksUpToDate>
  <CharactersWithSpaces>14736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 Corporation</dc:creator>
  <cp:lastModifiedBy>ZTE-Shuaihua</cp:lastModifiedBy>
  <cp:revision>278</cp:revision>
  <cp:lastPrinted>2002-04-23T01:10:00Z</cp:lastPrinted>
  <dcterms:created xsi:type="dcterms:W3CDTF">2022-10-06T13:14:00Z</dcterms:created>
  <dcterms:modified xsi:type="dcterms:W3CDTF">2024-09-30T06:31:00Z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FA302CDCF2604BA2B8DC01C77BC10D07</vt:lpwstr>
  </property>
</Properties>
</file>